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7956" w14:textId="77777777" w:rsidR="00244242" w:rsidRPr="006772C9" w:rsidRDefault="00E85371" w:rsidP="006772C9">
      <w:pPr>
        <w:pStyle w:val="ListParagraph"/>
        <w:numPr>
          <w:ilvl w:val="0"/>
          <w:numId w:val="4"/>
        </w:numPr>
        <w:spacing w:line="240" w:lineRule="auto"/>
        <w:jc w:val="both"/>
        <w:rPr>
          <w:rFonts w:cstheme="minorHAnsi"/>
          <w:i/>
          <w:iCs/>
          <w:color w:val="FF0000"/>
        </w:rPr>
      </w:pPr>
      <w:r w:rsidRPr="006772C9">
        <w:rPr>
          <w:rFonts w:cstheme="minorHAnsi"/>
          <w:u w:val="single"/>
        </w:rPr>
        <w:t>Overview</w:t>
      </w:r>
      <w:r w:rsidR="005B789B" w:rsidRPr="006772C9">
        <w:rPr>
          <w:rFonts w:cstheme="minorHAnsi"/>
        </w:rPr>
        <w:t xml:space="preserve">: </w:t>
      </w:r>
    </w:p>
    <w:p w14:paraId="677305B6" w14:textId="77777777" w:rsidR="00244242" w:rsidRPr="006772C9" w:rsidRDefault="00244242" w:rsidP="006772C9">
      <w:pPr>
        <w:pStyle w:val="ListParagraph"/>
        <w:spacing w:line="240" w:lineRule="auto"/>
        <w:jc w:val="both"/>
        <w:rPr>
          <w:rFonts w:cstheme="minorHAnsi"/>
        </w:rPr>
      </w:pPr>
    </w:p>
    <w:p w14:paraId="6AD7AA31" w14:textId="4EBB33C7" w:rsidR="006772C9" w:rsidRPr="005F6D68" w:rsidRDefault="005B789B" w:rsidP="005F6D68">
      <w:pPr>
        <w:pStyle w:val="ListParagraph"/>
        <w:spacing w:after="0" w:line="240" w:lineRule="auto"/>
        <w:jc w:val="both"/>
        <w:rPr>
          <w:rFonts w:cstheme="minorHAnsi"/>
        </w:rPr>
      </w:pPr>
      <w:r w:rsidRPr="006772C9">
        <w:rPr>
          <w:rFonts w:cstheme="minorHAnsi"/>
        </w:rPr>
        <w:t xml:space="preserve">This annual clinical update provides a review of the ongoing experience with the </w:t>
      </w:r>
      <w:r w:rsidR="006772C9">
        <w:rPr>
          <w:rFonts w:cstheme="minorHAnsi"/>
        </w:rPr>
        <w:t xml:space="preserve">RelayPro Thoracic </w:t>
      </w:r>
      <w:r w:rsidRPr="006772C9">
        <w:rPr>
          <w:rFonts w:cstheme="minorHAnsi"/>
        </w:rPr>
        <w:t xml:space="preserve">Stent-Graft System used in the </w:t>
      </w:r>
      <w:r w:rsidR="005F6D68">
        <w:rPr>
          <w:rFonts w:cstheme="minorHAnsi"/>
        </w:rPr>
        <w:t xml:space="preserve">endovascular repair </w:t>
      </w:r>
      <w:r w:rsidRPr="006772C9">
        <w:rPr>
          <w:rFonts w:cstheme="minorHAnsi"/>
        </w:rPr>
        <w:t xml:space="preserve">of </w:t>
      </w:r>
      <w:r w:rsidR="005F6D68">
        <w:rPr>
          <w:rFonts w:cstheme="minorHAnsi"/>
        </w:rPr>
        <w:t xml:space="preserve">thoracic </w:t>
      </w:r>
      <w:r w:rsidR="00ED06E0" w:rsidRPr="006772C9">
        <w:rPr>
          <w:rFonts w:cstheme="minorHAnsi"/>
        </w:rPr>
        <w:t>aortic aneurysms</w:t>
      </w:r>
      <w:r w:rsidR="005F6D68">
        <w:rPr>
          <w:rFonts w:cstheme="minorHAnsi"/>
        </w:rPr>
        <w:t xml:space="preserve">/ penetrating atherosclerotic ulcers (PAU) </w:t>
      </w:r>
      <w:r w:rsidR="006772C9">
        <w:rPr>
          <w:rFonts w:cstheme="minorHAnsi"/>
        </w:rPr>
        <w:t>covering the time period from August 5, 2021</w:t>
      </w:r>
      <w:r w:rsidR="00E711A6">
        <w:rPr>
          <w:rFonts w:cstheme="minorHAnsi"/>
        </w:rPr>
        <w:t xml:space="preserve"> to Ju</w:t>
      </w:r>
      <w:r w:rsidR="00F3045F">
        <w:rPr>
          <w:rFonts w:cstheme="minorHAnsi"/>
        </w:rPr>
        <w:t>ne 20</w:t>
      </w:r>
      <w:r w:rsidR="00E711A6">
        <w:rPr>
          <w:rFonts w:cstheme="minorHAnsi"/>
        </w:rPr>
        <w:t>, 2022</w:t>
      </w:r>
      <w:r w:rsidR="000B6403">
        <w:rPr>
          <w:rFonts w:cstheme="minorHAnsi"/>
        </w:rPr>
        <w:t xml:space="preserve"> (referred to as </w:t>
      </w:r>
      <w:r w:rsidR="009234E2">
        <w:rPr>
          <w:rFonts w:cstheme="minorHAnsi"/>
        </w:rPr>
        <w:t>RelayPro-A</w:t>
      </w:r>
      <w:r w:rsidR="00566FD3">
        <w:rPr>
          <w:rFonts w:cstheme="minorHAnsi"/>
        </w:rPr>
        <w:t>)</w:t>
      </w:r>
      <w:r w:rsidR="00ED06E0" w:rsidRPr="006772C9">
        <w:rPr>
          <w:rFonts w:cstheme="minorHAnsi"/>
        </w:rPr>
        <w:t>.</w:t>
      </w:r>
      <w:r w:rsidRPr="006772C9">
        <w:rPr>
          <w:rFonts w:cstheme="minorHAnsi"/>
        </w:rPr>
        <w:t xml:space="preserve"> </w:t>
      </w:r>
      <w:r w:rsidR="000402F3" w:rsidRPr="006772C9">
        <w:rPr>
          <w:rFonts w:cstheme="minorHAnsi"/>
        </w:rPr>
        <w:t xml:space="preserve">The </w:t>
      </w:r>
      <w:r w:rsidR="00E711A6">
        <w:rPr>
          <w:rFonts w:cstheme="minorHAnsi"/>
        </w:rPr>
        <w:t>RelayPro</w:t>
      </w:r>
      <w:r w:rsidR="000402F3" w:rsidRPr="006772C9">
        <w:rPr>
          <w:rFonts w:cstheme="minorHAnsi"/>
        </w:rPr>
        <w:t xml:space="preserve"> received CE Mark in </w:t>
      </w:r>
      <w:r w:rsidR="00E711A6">
        <w:rPr>
          <w:rFonts w:cstheme="minorHAnsi"/>
        </w:rPr>
        <w:t>2017</w:t>
      </w:r>
      <w:r w:rsidR="000402F3" w:rsidRPr="006772C9">
        <w:rPr>
          <w:rFonts w:cstheme="minorHAnsi"/>
        </w:rPr>
        <w:t xml:space="preserve"> and </w:t>
      </w:r>
      <w:r w:rsidR="009E499A" w:rsidRPr="006772C9">
        <w:rPr>
          <w:rFonts w:cstheme="minorHAnsi"/>
        </w:rPr>
        <w:t xml:space="preserve">has </w:t>
      </w:r>
      <w:r w:rsidR="000402F3" w:rsidRPr="006772C9">
        <w:rPr>
          <w:rFonts w:cstheme="minorHAnsi"/>
        </w:rPr>
        <w:t>subsequently</w:t>
      </w:r>
      <w:r w:rsidR="009E499A" w:rsidRPr="006772C9">
        <w:rPr>
          <w:rFonts w:cstheme="minorHAnsi"/>
        </w:rPr>
        <w:t xml:space="preserve"> been commercially available in the EU, Asia Pacific and Latin America</w:t>
      </w:r>
      <w:r w:rsidR="006D0E15" w:rsidRPr="006772C9">
        <w:rPr>
          <w:rFonts w:cstheme="minorHAnsi"/>
        </w:rPr>
        <w:t xml:space="preserve">; it has </w:t>
      </w:r>
      <w:r w:rsidR="00896D7A" w:rsidRPr="006772C9">
        <w:rPr>
          <w:rFonts w:cstheme="minorHAnsi"/>
        </w:rPr>
        <w:t xml:space="preserve">been commercially available in the United States since </w:t>
      </w:r>
      <w:r w:rsidR="00E711A6">
        <w:rPr>
          <w:rFonts w:cstheme="minorHAnsi"/>
        </w:rPr>
        <w:t>August 2021</w:t>
      </w:r>
      <w:r w:rsidR="005F6D68">
        <w:rPr>
          <w:rFonts w:cstheme="minorHAnsi"/>
        </w:rPr>
        <w:t xml:space="preserve"> once approval to PMA P200045 was granted on August 5, 2021</w:t>
      </w:r>
      <w:r w:rsidR="001A1E19" w:rsidRPr="006772C9">
        <w:rPr>
          <w:rFonts w:cstheme="minorHAnsi"/>
        </w:rPr>
        <w:t>.</w:t>
      </w:r>
      <w:r w:rsidR="00896D7A" w:rsidRPr="006772C9">
        <w:rPr>
          <w:rFonts w:cstheme="minorHAnsi"/>
        </w:rPr>
        <w:t xml:space="preserve"> </w:t>
      </w:r>
      <w:r w:rsidR="00DF1932" w:rsidRPr="006772C9">
        <w:rPr>
          <w:rFonts w:cstheme="minorHAnsi"/>
        </w:rPr>
        <w:t xml:space="preserve">In this update, </w:t>
      </w:r>
      <w:r w:rsidR="00E711A6">
        <w:rPr>
          <w:rFonts w:cstheme="minorHAnsi"/>
        </w:rPr>
        <w:t>up to 5</w:t>
      </w:r>
      <w:r w:rsidR="006D2042" w:rsidRPr="006772C9">
        <w:rPr>
          <w:rFonts w:cstheme="minorHAnsi"/>
        </w:rPr>
        <w:t xml:space="preserve"> </w:t>
      </w:r>
      <w:r w:rsidR="00DF1932" w:rsidRPr="006772C9">
        <w:rPr>
          <w:rFonts w:cstheme="minorHAnsi"/>
        </w:rPr>
        <w:t>years of IDE clinical data</w:t>
      </w:r>
      <w:r w:rsidR="006760F6" w:rsidRPr="006772C9">
        <w:rPr>
          <w:rFonts w:cstheme="minorHAnsi"/>
        </w:rPr>
        <w:t xml:space="preserve">, </w:t>
      </w:r>
      <w:r w:rsidR="00E711A6">
        <w:rPr>
          <w:rFonts w:cstheme="minorHAnsi"/>
        </w:rPr>
        <w:t>initial Post-Approval Study (PAS) data and 4</w:t>
      </w:r>
      <w:r w:rsidRPr="006772C9">
        <w:rPr>
          <w:rFonts w:cstheme="minorHAnsi"/>
        </w:rPr>
        <w:t xml:space="preserve"> years of worldwide commercial experience</w:t>
      </w:r>
      <w:r w:rsidR="00DF1932" w:rsidRPr="006772C9">
        <w:rPr>
          <w:rFonts w:cstheme="minorHAnsi"/>
        </w:rPr>
        <w:t xml:space="preserve"> is presented</w:t>
      </w:r>
      <w:r w:rsidRPr="006772C9">
        <w:rPr>
          <w:rFonts w:cstheme="minorHAnsi"/>
        </w:rPr>
        <w:t>.</w:t>
      </w:r>
    </w:p>
    <w:tbl>
      <w:tblPr>
        <w:tblStyle w:val="TableGrid"/>
        <w:tblpPr w:leftFromText="180" w:rightFromText="180" w:vertAnchor="text" w:horzAnchor="margin" w:tblpX="715" w:tblpY="201"/>
        <w:tblW w:w="8635" w:type="dxa"/>
        <w:tblLayout w:type="fixed"/>
        <w:tblCellMar>
          <w:left w:w="115" w:type="dxa"/>
          <w:right w:w="115" w:type="dxa"/>
        </w:tblCellMar>
        <w:tblLook w:val="04A0" w:firstRow="1" w:lastRow="0" w:firstColumn="1" w:lastColumn="0" w:noHBand="0" w:noVBand="1"/>
      </w:tblPr>
      <w:tblGrid>
        <w:gridCol w:w="2335"/>
        <w:gridCol w:w="6300"/>
      </w:tblGrid>
      <w:tr w:rsidR="00E8348A" w:rsidRPr="006772C9" w14:paraId="4B932D6E" w14:textId="77777777" w:rsidTr="00271D1C">
        <w:trPr>
          <w:trHeight w:val="440"/>
        </w:trPr>
        <w:tc>
          <w:tcPr>
            <w:tcW w:w="2335" w:type="dxa"/>
            <w:vAlign w:val="center"/>
          </w:tcPr>
          <w:p w14:paraId="7E0DECBF" w14:textId="77777777" w:rsidR="00E8348A" w:rsidRPr="006772C9" w:rsidRDefault="00E8348A" w:rsidP="006772C9">
            <w:pPr>
              <w:jc w:val="both"/>
              <w:rPr>
                <w:rFonts w:cstheme="minorHAnsi"/>
              </w:rPr>
            </w:pPr>
            <w:r w:rsidRPr="006772C9">
              <w:rPr>
                <w:rFonts w:cstheme="minorHAnsi"/>
              </w:rPr>
              <w:t>PMA Approval Order</w:t>
            </w:r>
          </w:p>
        </w:tc>
        <w:tc>
          <w:tcPr>
            <w:tcW w:w="6300" w:type="dxa"/>
            <w:vAlign w:val="center"/>
          </w:tcPr>
          <w:p w14:paraId="2071DF60" w14:textId="4879EF39" w:rsidR="00E8348A" w:rsidRPr="006772C9" w:rsidRDefault="00382DEB" w:rsidP="006772C9">
            <w:pPr>
              <w:jc w:val="both"/>
              <w:rPr>
                <w:rFonts w:cstheme="minorHAnsi"/>
                <w:highlight w:val="yellow"/>
              </w:rPr>
            </w:pPr>
            <w:hyperlink r:id="rId11" w:history="1">
              <w:r w:rsidRPr="00826711">
                <w:rPr>
                  <w:rStyle w:val="Hyperlink"/>
                  <w:rFonts w:cstheme="minorHAnsi"/>
                </w:rPr>
                <w:t>https://www.accessdata.fda.gov/cdrh_docs/pdf20/P200045A.pdf</w:t>
              </w:r>
            </w:hyperlink>
            <w:r>
              <w:rPr>
                <w:rFonts w:cstheme="minorHAnsi"/>
              </w:rPr>
              <w:t xml:space="preserve"> </w:t>
            </w:r>
          </w:p>
        </w:tc>
      </w:tr>
      <w:tr w:rsidR="00E8348A" w:rsidRPr="006772C9" w14:paraId="3B629040" w14:textId="77777777" w:rsidTr="00271D1C">
        <w:tc>
          <w:tcPr>
            <w:tcW w:w="2335" w:type="dxa"/>
            <w:vAlign w:val="center"/>
          </w:tcPr>
          <w:p w14:paraId="6842C0B5" w14:textId="77777777" w:rsidR="00E8348A" w:rsidRPr="006772C9" w:rsidRDefault="00E8348A" w:rsidP="006772C9">
            <w:pPr>
              <w:jc w:val="both"/>
              <w:rPr>
                <w:rFonts w:cstheme="minorHAnsi"/>
              </w:rPr>
            </w:pPr>
            <w:r w:rsidRPr="006772C9">
              <w:rPr>
                <w:rFonts w:cstheme="minorHAnsi"/>
              </w:rPr>
              <w:t>Instructions for Use (IFU)</w:t>
            </w:r>
          </w:p>
        </w:tc>
        <w:tc>
          <w:tcPr>
            <w:tcW w:w="6300" w:type="dxa"/>
            <w:vAlign w:val="center"/>
          </w:tcPr>
          <w:p w14:paraId="3B40AE11" w14:textId="24D246EB" w:rsidR="00E8348A" w:rsidRPr="006772C9" w:rsidRDefault="00382DEB" w:rsidP="006772C9">
            <w:pPr>
              <w:jc w:val="both"/>
              <w:rPr>
                <w:rFonts w:cstheme="minorHAnsi"/>
                <w:highlight w:val="yellow"/>
              </w:rPr>
            </w:pPr>
            <w:hyperlink r:id="rId12" w:history="1">
              <w:r w:rsidRPr="00826711">
                <w:rPr>
                  <w:rStyle w:val="Hyperlink"/>
                  <w:rFonts w:cstheme="minorHAnsi"/>
                </w:rPr>
                <w:t>https://www.accessdata.fda.gov/cdrh_docs/pdf20/P200045C.pdf</w:t>
              </w:r>
            </w:hyperlink>
            <w:r>
              <w:rPr>
                <w:rFonts w:cstheme="minorHAnsi"/>
              </w:rPr>
              <w:t xml:space="preserve"> </w:t>
            </w:r>
          </w:p>
        </w:tc>
      </w:tr>
      <w:tr w:rsidR="00E8348A" w:rsidRPr="006772C9" w14:paraId="6A3A4C65" w14:textId="77777777" w:rsidTr="00271D1C">
        <w:tc>
          <w:tcPr>
            <w:tcW w:w="2335" w:type="dxa"/>
            <w:vAlign w:val="center"/>
          </w:tcPr>
          <w:p w14:paraId="4F44CB6E" w14:textId="77777777" w:rsidR="00E8348A" w:rsidRPr="006772C9" w:rsidRDefault="00E8348A" w:rsidP="006772C9">
            <w:pPr>
              <w:jc w:val="both"/>
              <w:rPr>
                <w:rFonts w:cstheme="minorHAnsi"/>
              </w:rPr>
            </w:pPr>
            <w:r w:rsidRPr="006772C9">
              <w:rPr>
                <w:rFonts w:cstheme="minorHAnsi"/>
              </w:rPr>
              <w:t>Summary of Safety and Effectiveness (SSED)</w:t>
            </w:r>
          </w:p>
        </w:tc>
        <w:tc>
          <w:tcPr>
            <w:tcW w:w="6300" w:type="dxa"/>
            <w:vAlign w:val="center"/>
          </w:tcPr>
          <w:p w14:paraId="1A773509" w14:textId="1029270E" w:rsidR="00E8348A" w:rsidRPr="006772C9" w:rsidRDefault="00382DEB" w:rsidP="006772C9">
            <w:pPr>
              <w:jc w:val="both"/>
              <w:rPr>
                <w:rFonts w:cstheme="minorHAnsi"/>
                <w:highlight w:val="yellow"/>
              </w:rPr>
            </w:pPr>
            <w:hyperlink r:id="rId13" w:history="1">
              <w:r w:rsidRPr="00826711">
                <w:rPr>
                  <w:rStyle w:val="Hyperlink"/>
                  <w:rFonts w:cstheme="minorHAnsi"/>
                </w:rPr>
                <w:t>https://www.accessdata.fda.gov/cdrh_docs/pdf20/P200045B.pdf</w:t>
              </w:r>
            </w:hyperlink>
            <w:r>
              <w:rPr>
                <w:rFonts w:cstheme="minorHAnsi"/>
              </w:rPr>
              <w:t xml:space="preserve"> </w:t>
            </w:r>
          </w:p>
        </w:tc>
      </w:tr>
      <w:tr w:rsidR="00E8348A" w:rsidRPr="006772C9" w14:paraId="57467BFD" w14:textId="77777777" w:rsidTr="00271D1C">
        <w:trPr>
          <w:trHeight w:val="692"/>
        </w:trPr>
        <w:tc>
          <w:tcPr>
            <w:tcW w:w="2335" w:type="dxa"/>
            <w:vAlign w:val="center"/>
          </w:tcPr>
          <w:p w14:paraId="5991AC63" w14:textId="77777777" w:rsidR="00E8348A" w:rsidRPr="006772C9" w:rsidRDefault="00E8348A" w:rsidP="006772C9">
            <w:pPr>
              <w:jc w:val="both"/>
              <w:rPr>
                <w:rFonts w:cstheme="minorHAnsi"/>
              </w:rPr>
            </w:pPr>
            <w:r w:rsidRPr="006772C9">
              <w:rPr>
                <w:rFonts w:cstheme="minorHAnsi"/>
              </w:rPr>
              <w:t>Post Approval Study (PAS) Webpage</w:t>
            </w:r>
          </w:p>
        </w:tc>
        <w:tc>
          <w:tcPr>
            <w:tcW w:w="6300" w:type="dxa"/>
            <w:vAlign w:val="center"/>
          </w:tcPr>
          <w:p w14:paraId="431D54AE" w14:textId="5181F766" w:rsidR="00F420E4" w:rsidRPr="006772C9" w:rsidRDefault="00F420E4" w:rsidP="006772C9">
            <w:pPr>
              <w:jc w:val="both"/>
              <w:rPr>
                <w:rFonts w:cstheme="minorHAnsi"/>
              </w:rPr>
            </w:pPr>
            <w:hyperlink r:id="rId14" w:history="1">
              <w:r w:rsidRPr="00480975">
                <w:rPr>
                  <w:rStyle w:val="Hyperlink"/>
                  <w:rFonts w:cstheme="minorHAnsi"/>
                </w:rPr>
                <w:t>https://www.accessdata.fda.gov/scripts/cdrh/cfdocs/cfpma/pma_pas.cfm?tid=721614</w:t>
              </w:r>
            </w:hyperlink>
            <w:r>
              <w:rPr>
                <w:rFonts w:cstheme="minorHAnsi"/>
              </w:rPr>
              <w:t xml:space="preserve"> </w:t>
            </w:r>
          </w:p>
        </w:tc>
      </w:tr>
    </w:tbl>
    <w:p w14:paraId="36127A7D" w14:textId="631F104A" w:rsidR="00D93E9C" w:rsidRPr="006772C9" w:rsidRDefault="00D93E9C" w:rsidP="005F6D68">
      <w:pPr>
        <w:spacing w:after="0" w:line="240" w:lineRule="auto"/>
        <w:ind w:left="720"/>
        <w:jc w:val="both"/>
        <w:rPr>
          <w:rFonts w:cstheme="minorHAnsi"/>
          <w:iCs/>
        </w:rPr>
      </w:pPr>
    </w:p>
    <w:p w14:paraId="43B40CED" w14:textId="77777777" w:rsidR="009D5E2B" w:rsidRPr="006772C9" w:rsidRDefault="00BC4266" w:rsidP="006772C9">
      <w:pPr>
        <w:pStyle w:val="ListParagraph"/>
        <w:numPr>
          <w:ilvl w:val="0"/>
          <w:numId w:val="4"/>
        </w:numPr>
        <w:spacing w:line="240" w:lineRule="auto"/>
        <w:contextualSpacing w:val="0"/>
        <w:jc w:val="both"/>
        <w:rPr>
          <w:rFonts w:cstheme="minorHAnsi"/>
        </w:rPr>
      </w:pPr>
      <w:r w:rsidRPr="006772C9">
        <w:rPr>
          <w:rFonts w:cstheme="minorHAnsi"/>
          <w:u w:val="single"/>
        </w:rPr>
        <w:t>Worldwide Device Distribution:</w:t>
      </w:r>
      <w:r w:rsidRPr="006772C9">
        <w:rPr>
          <w:rFonts w:cstheme="minorHAnsi"/>
        </w:rPr>
        <w:t xml:space="preserve"> </w:t>
      </w:r>
    </w:p>
    <w:p w14:paraId="0D832829" w14:textId="004F824C" w:rsidR="005A3BEE" w:rsidRPr="00576CD2" w:rsidRDefault="005158EC" w:rsidP="006C774B">
      <w:pPr>
        <w:pStyle w:val="ListParagraph"/>
        <w:spacing w:line="240" w:lineRule="auto"/>
        <w:contextualSpacing w:val="0"/>
        <w:jc w:val="both"/>
        <w:rPr>
          <w:rFonts w:cstheme="minorHAnsi"/>
        </w:rPr>
      </w:pPr>
      <w:r w:rsidRPr="00576CD2">
        <w:rPr>
          <w:rFonts w:cstheme="minorHAnsi"/>
          <w:iCs/>
        </w:rPr>
        <w:t xml:space="preserve">Approximately </w:t>
      </w:r>
      <w:r w:rsidR="0042657E" w:rsidRPr="00576CD2">
        <w:rPr>
          <w:rFonts w:cstheme="minorHAnsi"/>
          <w:iCs/>
        </w:rPr>
        <w:t>5,500</w:t>
      </w:r>
      <w:r w:rsidR="00E711A6" w:rsidRPr="00576CD2">
        <w:rPr>
          <w:rFonts w:cstheme="minorHAnsi"/>
          <w:iCs/>
        </w:rPr>
        <w:t xml:space="preserve"> RelayPro Thoracic </w:t>
      </w:r>
      <w:r w:rsidR="00705DB9" w:rsidRPr="00576CD2">
        <w:rPr>
          <w:rFonts w:cstheme="minorHAnsi"/>
          <w:iCs/>
        </w:rPr>
        <w:t>Stent-Graft Systems</w:t>
      </w:r>
      <w:r w:rsidR="00E711A6" w:rsidRPr="00576CD2">
        <w:rPr>
          <w:rFonts w:cstheme="minorHAnsi"/>
          <w:iCs/>
        </w:rPr>
        <w:t>, including the Bare Stent and Non-Bare Stent (NBS) configurations</w:t>
      </w:r>
      <w:r w:rsidR="00705DB9" w:rsidRPr="00576CD2">
        <w:rPr>
          <w:rFonts w:cstheme="minorHAnsi"/>
          <w:iCs/>
        </w:rPr>
        <w:t xml:space="preserve"> have been distributed worldwide between </w:t>
      </w:r>
      <w:r w:rsidR="00E711A6" w:rsidRPr="00576CD2">
        <w:rPr>
          <w:rFonts w:cstheme="minorHAnsi"/>
          <w:iCs/>
        </w:rPr>
        <w:t xml:space="preserve">August 5, </w:t>
      </w:r>
      <w:r w:rsidR="002503CB" w:rsidRPr="00576CD2">
        <w:rPr>
          <w:rFonts w:cstheme="minorHAnsi"/>
          <w:iCs/>
        </w:rPr>
        <w:t xml:space="preserve">2021 and </w:t>
      </w:r>
      <w:r w:rsidR="00E711A6" w:rsidRPr="00576CD2">
        <w:rPr>
          <w:rFonts w:cstheme="minorHAnsi"/>
          <w:iCs/>
        </w:rPr>
        <w:t>Ju</w:t>
      </w:r>
      <w:r w:rsidR="00F3045F" w:rsidRPr="00576CD2">
        <w:rPr>
          <w:rFonts w:cstheme="minorHAnsi"/>
          <w:iCs/>
        </w:rPr>
        <w:t>ne</w:t>
      </w:r>
      <w:r w:rsidR="00E711A6" w:rsidRPr="00576CD2">
        <w:rPr>
          <w:rFonts w:cstheme="minorHAnsi"/>
          <w:iCs/>
        </w:rPr>
        <w:t xml:space="preserve"> </w:t>
      </w:r>
      <w:r w:rsidR="00F3045F" w:rsidRPr="00576CD2">
        <w:rPr>
          <w:rFonts w:cstheme="minorHAnsi"/>
          <w:iCs/>
        </w:rPr>
        <w:t>20</w:t>
      </w:r>
      <w:r w:rsidR="00E711A6" w:rsidRPr="00576CD2">
        <w:rPr>
          <w:rFonts w:cstheme="minorHAnsi"/>
          <w:iCs/>
        </w:rPr>
        <w:t>,</w:t>
      </w:r>
      <w:r w:rsidR="002503CB" w:rsidRPr="00576CD2">
        <w:rPr>
          <w:rFonts w:cstheme="minorHAnsi"/>
          <w:iCs/>
        </w:rPr>
        <w:t xml:space="preserve"> 2022.  During this period of time, there have been approximately </w:t>
      </w:r>
      <w:r w:rsidR="0042657E" w:rsidRPr="00576CD2">
        <w:rPr>
          <w:rFonts w:cstheme="minorHAnsi"/>
          <w:iCs/>
        </w:rPr>
        <w:t>927</w:t>
      </w:r>
      <w:r w:rsidR="002503CB" w:rsidRPr="00576CD2">
        <w:rPr>
          <w:rFonts w:cstheme="minorHAnsi"/>
          <w:iCs/>
        </w:rPr>
        <w:t xml:space="preserve"> devices implanted in the US. </w:t>
      </w:r>
    </w:p>
    <w:p w14:paraId="6171F46E" w14:textId="77777777" w:rsidR="00337E64" w:rsidRPr="00576CD2" w:rsidRDefault="00477AE2" w:rsidP="006C774B">
      <w:pPr>
        <w:pStyle w:val="ListParagraph"/>
        <w:numPr>
          <w:ilvl w:val="0"/>
          <w:numId w:val="4"/>
        </w:numPr>
        <w:spacing w:line="240" w:lineRule="auto"/>
        <w:contextualSpacing w:val="0"/>
        <w:jc w:val="both"/>
        <w:rPr>
          <w:rFonts w:cstheme="minorHAnsi"/>
          <w:u w:val="single"/>
        </w:rPr>
      </w:pPr>
      <w:r w:rsidRPr="00576CD2">
        <w:rPr>
          <w:rFonts w:cstheme="minorHAnsi"/>
          <w:u w:val="single"/>
        </w:rPr>
        <w:t>Clinical Evaluations:</w:t>
      </w:r>
      <w:r w:rsidR="00BE4B47" w:rsidRPr="00576CD2">
        <w:rPr>
          <w:rFonts w:cstheme="minorHAnsi"/>
        </w:rPr>
        <w:t xml:space="preserve"> </w:t>
      </w:r>
    </w:p>
    <w:p w14:paraId="44E739F7" w14:textId="273F207E" w:rsidR="00610DDA" w:rsidRPr="00576CD2" w:rsidRDefault="00376947" w:rsidP="006C774B">
      <w:pPr>
        <w:pStyle w:val="ListParagraph"/>
        <w:spacing w:line="240" w:lineRule="auto"/>
        <w:contextualSpacing w:val="0"/>
        <w:jc w:val="both"/>
        <w:rPr>
          <w:rFonts w:cstheme="minorHAnsi"/>
        </w:rPr>
      </w:pPr>
      <w:r w:rsidRPr="00576CD2">
        <w:rPr>
          <w:rFonts w:cstheme="minorHAnsi"/>
        </w:rPr>
        <w:t>The data presented in this report show</w:t>
      </w:r>
      <w:r w:rsidR="00A45A25" w:rsidRPr="00576CD2">
        <w:rPr>
          <w:rFonts w:cstheme="minorHAnsi"/>
        </w:rPr>
        <w:t>s</w:t>
      </w:r>
      <w:r w:rsidRPr="00576CD2">
        <w:rPr>
          <w:rFonts w:cstheme="minorHAnsi"/>
        </w:rPr>
        <w:t xml:space="preserve"> a continued favorable performance of the </w:t>
      </w:r>
      <w:r w:rsidR="0027230C" w:rsidRPr="00576CD2">
        <w:rPr>
          <w:rFonts w:cstheme="minorHAnsi"/>
        </w:rPr>
        <w:t>RelayPro</w:t>
      </w:r>
      <w:r w:rsidRPr="00576CD2">
        <w:rPr>
          <w:rFonts w:cstheme="minorHAnsi"/>
        </w:rPr>
        <w:t xml:space="preserve"> device in long-term follow-up</w:t>
      </w:r>
      <w:r w:rsidR="00D84617" w:rsidRPr="00576CD2">
        <w:rPr>
          <w:rFonts w:cstheme="minorHAnsi"/>
        </w:rPr>
        <w:t xml:space="preserve"> of the Pivotal and Continued Access cohorts</w:t>
      </w:r>
      <w:r w:rsidRPr="00576CD2">
        <w:rPr>
          <w:rFonts w:cstheme="minorHAnsi"/>
        </w:rPr>
        <w:t>.</w:t>
      </w:r>
      <w:r w:rsidR="00610DDA" w:rsidRPr="00576CD2">
        <w:rPr>
          <w:rFonts w:cstheme="minorHAnsi"/>
        </w:rPr>
        <w:t xml:space="preserve"> </w:t>
      </w:r>
    </w:p>
    <w:p w14:paraId="7F42A3BE" w14:textId="57A2FFBE" w:rsidR="007B7644" w:rsidRPr="00576CD2" w:rsidRDefault="007B7644" w:rsidP="006C774B">
      <w:pPr>
        <w:spacing w:line="240" w:lineRule="auto"/>
        <w:ind w:left="720"/>
        <w:jc w:val="both"/>
        <w:rPr>
          <w:rFonts w:cstheme="minorHAnsi"/>
          <w:i/>
          <w:iCs/>
        </w:rPr>
      </w:pPr>
      <w:r w:rsidRPr="00576CD2">
        <w:rPr>
          <w:i/>
        </w:rPr>
        <w:t>US Pivotal</w:t>
      </w:r>
      <w:r w:rsidR="00B6422F" w:rsidRPr="00576CD2">
        <w:rPr>
          <w:i/>
        </w:rPr>
        <w:t xml:space="preserve"> Study (including </w:t>
      </w:r>
      <w:r w:rsidR="001B40B7" w:rsidRPr="00576CD2">
        <w:rPr>
          <w:i/>
        </w:rPr>
        <w:t>Continued Access Cohort):</w:t>
      </w:r>
    </w:p>
    <w:p w14:paraId="5A50E72F" w14:textId="6F741894" w:rsidR="2870D5B9" w:rsidRPr="00576CD2" w:rsidRDefault="536A1BA7" w:rsidP="006C774B">
      <w:pPr>
        <w:spacing w:line="240" w:lineRule="auto"/>
        <w:ind w:left="720"/>
        <w:jc w:val="both"/>
      </w:pPr>
      <w:r w:rsidRPr="00576CD2">
        <w:t xml:space="preserve">The RelayPro-A study was initiated in the US in 2016 to include 110 </w:t>
      </w:r>
      <w:r w:rsidR="003F6505" w:rsidRPr="00576CD2">
        <w:t>s</w:t>
      </w:r>
      <w:r w:rsidRPr="00576CD2">
        <w:t xml:space="preserve">ubjects at 45 Investigational </w:t>
      </w:r>
      <w:r w:rsidR="009775D4" w:rsidRPr="00576CD2">
        <w:t>s</w:t>
      </w:r>
      <w:r w:rsidRPr="00576CD2">
        <w:t xml:space="preserve">ites. The study was designed to investigate the safety and effectiveness of the RelayPro Thoracic Stent-Grafts in subjects with </w:t>
      </w:r>
      <w:r w:rsidR="00EC074E" w:rsidRPr="00576CD2">
        <w:rPr>
          <w:rFonts w:cstheme="minorHAnsi"/>
        </w:rPr>
        <w:t>fusiform aneurysms and saccular aneurysms/</w:t>
      </w:r>
      <w:r w:rsidR="00AF56B5" w:rsidRPr="00576CD2">
        <w:t>penetrating atherosclerotic ulcers (</w:t>
      </w:r>
      <w:r w:rsidRPr="00576CD2">
        <w:t>PAUs</w:t>
      </w:r>
      <w:r w:rsidR="00AF56B5" w:rsidRPr="00576CD2">
        <w:t>)</w:t>
      </w:r>
      <w:r w:rsidRPr="00576CD2">
        <w:t xml:space="preserve"> within the descending thoracic aorta with five</w:t>
      </w:r>
      <w:r w:rsidR="00B110C4" w:rsidRPr="00576CD2">
        <w:t>-</w:t>
      </w:r>
      <w:r w:rsidRPr="00576CD2">
        <w:t xml:space="preserve">year follow-up. The </w:t>
      </w:r>
      <w:r w:rsidR="00361721" w:rsidRPr="00576CD2">
        <w:t>P</w:t>
      </w:r>
      <w:r w:rsidRPr="00576CD2">
        <w:t xml:space="preserve">ivotal study expanded to include up to 15 investigational sites in Japan on April 20, 2018, and </w:t>
      </w:r>
      <w:r w:rsidR="001A0B00" w:rsidRPr="00576CD2">
        <w:t xml:space="preserve">a Continued Access cohort with </w:t>
      </w:r>
      <w:r w:rsidRPr="00576CD2">
        <w:t xml:space="preserve">up to 50 patients </w:t>
      </w:r>
      <w:r w:rsidR="001A0B00" w:rsidRPr="00576CD2">
        <w:t>was approved o</w:t>
      </w:r>
      <w:r w:rsidRPr="00576CD2">
        <w:t xml:space="preserve">n July 19, 2019. The study remains open </w:t>
      </w:r>
      <w:r w:rsidR="00BE4220" w:rsidRPr="00576CD2">
        <w:t xml:space="preserve">to follow-up </w:t>
      </w:r>
      <w:r w:rsidRPr="00576CD2">
        <w:t xml:space="preserve">with 115 subjects enrolled (110 in </w:t>
      </w:r>
      <w:r w:rsidR="00146D83" w:rsidRPr="00576CD2">
        <w:t>the P</w:t>
      </w:r>
      <w:r w:rsidRPr="00576CD2">
        <w:t>ivotal</w:t>
      </w:r>
      <w:r w:rsidR="00146D83" w:rsidRPr="00576CD2">
        <w:t xml:space="preserve"> </w:t>
      </w:r>
      <w:r w:rsidR="009C2A79" w:rsidRPr="00576CD2">
        <w:t xml:space="preserve">cohort </w:t>
      </w:r>
      <w:r w:rsidR="00146D83" w:rsidRPr="00576CD2">
        <w:t>and</w:t>
      </w:r>
      <w:r w:rsidRPr="00576CD2">
        <w:t xml:space="preserve"> 5 in </w:t>
      </w:r>
      <w:r w:rsidR="00146D83" w:rsidRPr="00576CD2">
        <w:t>C</w:t>
      </w:r>
      <w:r w:rsidRPr="00576CD2">
        <w:t xml:space="preserve">ontinued </w:t>
      </w:r>
      <w:r w:rsidR="00146D83" w:rsidRPr="00576CD2">
        <w:t>A</w:t>
      </w:r>
      <w:r w:rsidRPr="00576CD2">
        <w:t>ccess)</w:t>
      </w:r>
      <w:r w:rsidR="00C5025D" w:rsidRPr="00576CD2">
        <w:t>. Subject follow-up is to continue through 5 years</w:t>
      </w:r>
      <w:r w:rsidRPr="00576CD2">
        <w:t xml:space="preserve">. </w:t>
      </w:r>
    </w:p>
    <w:p w14:paraId="7A696E75" w14:textId="5010FC4C" w:rsidR="00E207AD" w:rsidRPr="00576CD2" w:rsidRDefault="00611FAE" w:rsidP="006C774B">
      <w:pPr>
        <w:spacing w:line="240" w:lineRule="auto"/>
        <w:ind w:left="720"/>
        <w:jc w:val="both"/>
        <w:rPr>
          <w:rFonts w:cstheme="minorHAnsi"/>
          <w:i/>
        </w:rPr>
      </w:pPr>
      <w:r w:rsidRPr="00576CD2">
        <w:rPr>
          <w:rFonts w:cstheme="minorHAnsi"/>
          <w:i/>
        </w:rPr>
        <w:t>Post Approval Study (PAS):</w:t>
      </w:r>
    </w:p>
    <w:p w14:paraId="61CADA2B" w14:textId="1FCD7B9F" w:rsidR="00F8751D" w:rsidRPr="00576CD2" w:rsidRDefault="00577004" w:rsidP="006C774B">
      <w:pPr>
        <w:pStyle w:val="Default"/>
        <w:spacing w:after="120"/>
        <w:ind w:left="700"/>
        <w:jc w:val="both"/>
        <w:rPr>
          <w:rFonts w:ascii="Calibri" w:eastAsia="Calibri" w:hAnsi="Calibri" w:cs="Calibri"/>
          <w:color w:val="auto"/>
          <w:sz w:val="22"/>
          <w:szCs w:val="22"/>
        </w:rPr>
      </w:pPr>
      <w:r w:rsidRPr="00576CD2">
        <w:rPr>
          <w:rFonts w:ascii="Calibri" w:eastAsia="Calibri" w:hAnsi="Calibri" w:cs="Calibri"/>
          <w:color w:val="auto"/>
          <w:sz w:val="22"/>
          <w:szCs w:val="22"/>
        </w:rPr>
        <w:t xml:space="preserve">The RelayPro PAS is part of the Terumo Aortic Global Endovascular Registry (TiGER-001).  TiGER is a multi-arm, multi-center, open label, prospective observational registry designed to obtain safety and performance data on the use of </w:t>
      </w:r>
      <w:r w:rsidR="00956C13" w:rsidRPr="00576CD2">
        <w:rPr>
          <w:rFonts w:ascii="Calibri" w:eastAsia="Calibri" w:hAnsi="Calibri" w:cs="Calibri"/>
          <w:color w:val="auto"/>
          <w:sz w:val="22"/>
          <w:szCs w:val="22"/>
        </w:rPr>
        <w:t xml:space="preserve">US approved, </w:t>
      </w:r>
      <w:r w:rsidRPr="00576CD2">
        <w:rPr>
          <w:rFonts w:ascii="Calibri" w:eastAsia="Calibri" w:hAnsi="Calibri" w:cs="Calibri"/>
          <w:color w:val="auto"/>
          <w:sz w:val="22"/>
          <w:szCs w:val="22"/>
        </w:rPr>
        <w:t>CE marked and custom</w:t>
      </w:r>
      <w:r w:rsidR="00956C13" w:rsidRPr="00576CD2">
        <w:rPr>
          <w:rFonts w:ascii="Calibri" w:eastAsia="Calibri" w:hAnsi="Calibri" w:cs="Calibri"/>
          <w:color w:val="auto"/>
          <w:sz w:val="22"/>
          <w:szCs w:val="22"/>
        </w:rPr>
        <w:t>-made</w:t>
      </w:r>
      <w:r w:rsidRPr="00576CD2">
        <w:rPr>
          <w:rFonts w:ascii="Calibri" w:eastAsia="Calibri" w:hAnsi="Calibri" w:cs="Calibri"/>
          <w:color w:val="auto"/>
          <w:sz w:val="22"/>
          <w:szCs w:val="22"/>
        </w:rPr>
        <w:t xml:space="preserve"> Terumo Aortic endovascular grafts. The study has three arms for specific device groups, Abdominal, Thoracic and </w:t>
      </w:r>
      <w:r w:rsidRPr="00576CD2">
        <w:rPr>
          <w:rFonts w:ascii="Calibri" w:eastAsia="Calibri" w:hAnsi="Calibri" w:cs="Calibri"/>
          <w:color w:val="auto"/>
          <w:sz w:val="22"/>
          <w:szCs w:val="22"/>
        </w:rPr>
        <w:lastRenderedPageBreak/>
        <w:t xml:space="preserve">Custom. </w:t>
      </w:r>
      <w:r w:rsidR="009B6419" w:rsidRPr="00576CD2">
        <w:rPr>
          <w:rFonts w:ascii="Calibri" w:eastAsia="Calibri" w:hAnsi="Calibri" w:cs="Calibri"/>
          <w:color w:val="auto"/>
          <w:sz w:val="22"/>
          <w:szCs w:val="22"/>
        </w:rPr>
        <w:t>To fulfill the PAS requirements for Rela</w:t>
      </w:r>
      <w:r w:rsidR="00D239FE" w:rsidRPr="00576CD2">
        <w:rPr>
          <w:rFonts w:ascii="Calibri" w:eastAsia="Calibri" w:hAnsi="Calibri" w:cs="Calibri"/>
          <w:color w:val="auto"/>
          <w:sz w:val="22"/>
          <w:szCs w:val="22"/>
        </w:rPr>
        <w:t>yPro, t</w:t>
      </w:r>
      <w:r w:rsidRPr="00576CD2">
        <w:rPr>
          <w:rFonts w:ascii="Calibri" w:eastAsia="Calibri" w:hAnsi="Calibri" w:cs="Calibri"/>
          <w:color w:val="auto"/>
          <w:sz w:val="22"/>
          <w:szCs w:val="22"/>
        </w:rPr>
        <w:t>he study will enroll a minimum of 177 aneurysm subjects treated with the RelayPro Thoracic Stent-Graft System.</w:t>
      </w:r>
      <w:r w:rsidR="009B6419" w:rsidRPr="00576CD2">
        <w:rPr>
          <w:rFonts w:ascii="Calibri" w:eastAsia="Calibri" w:hAnsi="Calibri" w:cs="Calibri"/>
          <w:color w:val="auto"/>
          <w:sz w:val="22"/>
          <w:szCs w:val="22"/>
        </w:rPr>
        <w:t xml:space="preserve"> Of these, a minimum of </w:t>
      </w:r>
      <w:r w:rsidRPr="00576CD2">
        <w:rPr>
          <w:rFonts w:ascii="Calibri" w:eastAsia="Calibri" w:hAnsi="Calibri" w:cs="Calibri"/>
          <w:color w:val="auto"/>
          <w:sz w:val="22"/>
          <w:szCs w:val="22"/>
        </w:rPr>
        <w:t xml:space="preserve">88 patients will be enrolled in the U.S in the Thoracic arm.  The primary endpoint is Aortic Related Mortality. </w:t>
      </w:r>
    </w:p>
    <w:p w14:paraId="5E8C9032" w14:textId="0DCAB3E5" w:rsidR="0027230C" w:rsidRPr="00576CD2" w:rsidRDefault="0077680A" w:rsidP="000C69F0">
      <w:pPr>
        <w:pStyle w:val="Default"/>
        <w:ind w:left="700"/>
        <w:jc w:val="both"/>
        <w:rPr>
          <w:rFonts w:ascii="Calibri" w:eastAsia="Calibri" w:hAnsi="Calibri" w:cs="Calibri"/>
          <w:color w:val="auto"/>
          <w:sz w:val="22"/>
          <w:szCs w:val="22"/>
        </w:rPr>
      </w:pPr>
      <w:r w:rsidRPr="00576CD2">
        <w:rPr>
          <w:rFonts w:ascii="Calibri" w:eastAsia="Calibri" w:hAnsi="Calibri" w:cs="Calibri"/>
          <w:color w:val="auto"/>
          <w:sz w:val="22"/>
          <w:szCs w:val="22"/>
        </w:rPr>
        <w:t>As of June 20</w:t>
      </w:r>
      <w:r w:rsidRPr="00576CD2">
        <w:rPr>
          <w:rFonts w:ascii="Calibri" w:eastAsia="Calibri" w:hAnsi="Calibri" w:cs="Calibri"/>
          <w:color w:val="auto"/>
          <w:sz w:val="22"/>
          <w:szCs w:val="22"/>
          <w:vertAlign w:val="superscript"/>
        </w:rPr>
        <w:t>th</w:t>
      </w:r>
      <w:r w:rsidRPr="00576CD2">
        <w:rPr>
          <w:rFonts w:ascii="Calibri" w:eastAsia="Calibri" w:hAnsi="Calibri" w:cs="Calibri"/>
          <w:color w:val="auto"/>
          <w:sz w:val="22"/>
          <w:szCs w:val="22"/>
        </w:rPr>
        <w:t xml:space="preserve">, 2022, </w:t>
      </w:r>
      <w:r w:rsidR="00F8751D" w:rsidRPr="00576CD2">
        <w:rPr>
          <w:rFonts w:ascii="Calibri" w:eastAsia="Calibri" w:hAnsi="Calibri" w:cs="Calibri"/>
          <w:color w:val="auto"/>
          <w:sz w:val="22"/>
          <w:szCs w:val="22"/>
        </w:rPr>
        <w:t>a total of 4</w:t>
      </w:r>
      <w:r w:rsidR="00FE1F69" w:rsidRPr="00576CD2">
        <w:rPr>
          <w:rFonts w:ascii="Calibri" w:eastAsia="Calibri" w:hAnsi="Calibri" w:cs="Calibri"/>
          <w:color w:val="auto"/>
          <w:sz w:val="22"/>
          <w:szCs w:val="22"/>
        </w:rPr>
        <w:t>35</w:t>
      </w:r>
      <w:r w:rsidR="00F8751D" w:rsidRPr="00576CD2">
        <w:rPr>
          <w:rFonts w:ascii="Calibri" w:eastAsia="Calibri" w:hAnsi="Calibri" w:cs="Calibri"/>
          <w:color w:val="auto"/>
          <w:sz w:val="22"/>
          <w:szCs w:val="22"/>
        </w:rPr>
        <w:t xml:space="preserve"> subjects in Europe are enrolled in</w:t>
      </w:r>
      <w:r w:rsidR="00D239FE" w:rsidRPr="00576CD2">
        <w:rPr>
          <w:rFonts w:ascii="Calibri" w:eastAsia="Calibri" w:hAnsi="Calibri" w:cs="Calibri"/>
          <w:color w:val="auto"/>
          <w:sz w:val="22"/>
          <w:szCs w:val="22"/>
        </w:rPr>
        <w:t xml:space="preserve"> the overall</w:t>
      </w:r>
      <w:r w:rsidR="00F8751D" w:rsidRPr="00576CD2">
        <w:rPr>
          <w:rFonts w:ascii="Calibri" w:eastAsia="Calibri" w:hAnsi="Calibri" w:cs="Calibri"/>
          <w:color w:val="auto"/>
          <w:sz w:val="22"/>
          <w:szCs w:val="22"/>
        </w:rPr>
        <w:t xml:space="preserve"> TiGER</w:t>
      </w:r>
      <w:r w:rsidR="00D239FE" w:rsidRPr="00576CD2">
        <w:rPr>
          <w:rFonts w:ascii="Calibri" w:eastAsia="Calibri" w:hAnsi="Calibri" w:cs="Calibri"/>
          <w:color w:val="auto"/>
          <w:sz w:val="22"/>
          <w:szCs w:val="22"/>
        </w:rPr>
        <w:t xml:space="preserve"> registry</w:t>
      </w:r>
      <w:r w:rsidR="00F8751D" w:rsidRPr="00576CD2">
        <w:rPr>
          <w:rFonts w:ascii="Calibri" w:eastAsia="Calibri" w:hAnsi="Calibri" w:cs="Calibri"/>
          <w:color w:val="auto"/>
          <w:sz w:val="22"/>
          <w:szCs w:val="22"/>
        </w:rPr>
        <w:t xml:space="preserve">. </w:t>
      </w:r>
      <w:r w:rsidR="00FE1F69" w:rsidRPr="00576CD2">
        <w:rPr>
          <w:rFonts w:ascii="Calibri" w:eastAsia="Calibri" w:hAnsi="Calibri" w:cs="Calibri"/>
          <w:color w:val="auto"/>
          <w:sz w:val="22"/>
          <w:szCs w:val="22"/>
        </w:rPr>
        <w:t xml:space="preserve">Twenty-two subjects </w:t>
      </w:r>
      <w:r w:rsidR="00526F61" w:rsidRPr="00576CD2">
        <w:rPr>
          <w:rFonts w:ascii="Calibri" w:eastAsia="Calibri" w:hAnsi="Calibri" w:cs="Calibri"/>
          <w:color w:val="auto"/>
          <w:sz w:val="22"/>
          <w:szCs w:val="22"/>
        </w:rPr>
        <w:t xml:space="preserve">were </w:t>
      </w:r>
      <w:r w:rsidR="00FC1707" w:rsidRPr="00576CD2">
        <w:rPr>
          <w:rFonts w:ascii="Calibri" w:eastAsia="Calibri" w:hAnsi="Calibri" w:cs="Calibri"/>
          <w:color w:val="auto"/>
          <w:sz w:val="22"/>
          <w:szCs w:val="22"/>
        </w:rPr>
        <w:t xml:space="preserve">enrolled into the Thoracic </w:t>
      </w:r>
      <w:r w:rsidR="00555572" w:rsidRPr="00576CD2">
        <w:rPr>
          <w:rFonts w:ascii="Calibri" w:eastAsia="Calibri" w:hAnsi="Calibri" w:cs="Calibri"/>
          <w:color w:val="auto"/>
          <w:sz w:val="22"/>
          <w:szCs w:val="22"/>
        </w:rPr>
        <w:t xml:space="preserve">arm with a RelayPro </w:t>
      </w:r>
      <w:r w:rsidR="00641111" w:rsidRPr="00576CD2">
        <w:rPr>
          <w:rFonts w:ascii="Calibri" w:eastAsia="Calibri" w:hAnsi="Calibri" w:cs="Calibri"/>
          <w:color w:val="auto"/>
          <w:sz w:val="22"/>
          <w:szCs w:val="22"/>
        </w:rPr>
        <w:t>s</w:t>
      </w:r>
      <w:r w:rsidR="00555572" w:rsidRPr="00576CD2">
        <w:rPr>
          <w:rFonts w:ascii="Calibri" w:eastAsia="Calibri" w:hAnsi="Calibri" w:cs="Calibri"/>
          <w:color w:val="auto"/>
          <w:sz w:val="22"/>
          <w:szCs w:val="22"/>
        </w:rPr>
        <w:t>tent-graft</w:t>
      </w:r>
      <w:r w:rsidRPr="00576CD2">
        <w:rPr>
          <w:rFonts w:ascii="Calibri" w:eastAsia="Calibri" w:hAnsi="Calibri" w:cs="Calibri"/>
          <w:color w:val="auto"/>
          <w:sz w:val="22"/>
          <w:szCs w:val="22"/>
        </w:rPr>
        <w:t xml:space="preserve"> (4 Bare </w:t>
      </w:r>
      <w:r w:rsidR="00641111" w:rsidRPr="00576CD2">
        <w:rPr>
          <w:rFonts w:ascii="Calibri" w:eastAsia="Calibri" w:hAnsi="Calibri" w:cs="Calibri"/>
          <w:color w:val="auto"/>
          <w:sz w:val="22"/>
          <w:szCs w:val="22"/>
        </w:rPr>
        <w:t>S</w:t>
      </w:r>
      <w:r w:rsidRPr="00576CD2">
        <w:rPr>
          <w:rFonts w:ascii="Calibri" w:eastAsia="Calibri" w:hAnsi="Calibri" w:cs="Calibri"/>
          <w:color w:val="auto"/>
          <w:sz w:val="22"/>
          <w:szCs w:val="22"/>
        </w:rPr>
        <w:t>tent and 18 N</w:t>
      </w:r>
      <w:r w:rsidR="00641111" w:rsidRPr="00576CD2">
        <w:rPr>
          <w:rFonts w:ascii="Calibri" w:eastAsia="Calibri" w:hAnsi="Calibri" w:cs="Calibri"/>
          <w:color w:val="auto"/>
          <w:sz w:val="22"/>
          <w:szCs w:val="22"/>
        </w:rPr>
        <w:t>on-</w:t>
      </w:r>
      <w:r w:rsidRPr="00576CD2">
        <w:rPr>
          <w:rFonts w:ascii="Calibri" w:eastAsia="Calibri" w:hAnsi="Calibri" w:cs="Calibri"/>
          <w:color w:val="auto"/>
          <w:sz w:val="22"/>
          <w:szCs w:val="22"/>
        </w:rPr>
        <w:t>B</w:t>
      </w:r>
      <w:r w:rsidR="00641111" w:rsidRPr="00576CD2">
        <w:rPr>
          <w:rFonts w:ascii="Calibri" w:eastAsia="Calibri" w:hAnsi="Calibri" w:cs="Calibri"/>
          <w:color w:val="auto"/>
          <w:sz w:val="22"/>
          <w:szCs w:val="22"/>
        </w:rPr>
        <w:t>are Stent</w:t>
      </w:r>
      <w:r w:rsidRPr="00576CD2">
        <w:rPr>
          <w:rFonts w:ascii="Calibri" w:eastAsia="Calibri" w:hAnsi="Calibri" w:cs="Calibri"/>
          <w:color w:val="auto"/>
          <w:sz w:val="22"/>
          <w:szCs w:val="22"/>
        </w:rPr>
        <w:t>)</w:t>
      </w:r>
      <w:r w:rsidR="00281E55" w:rsidRPr="00576CD2">
        <w:rPr>
          <w:rFonts w:ascii="Calibri" w:eastAsia="Calibri" w:hAnsi="Calibri" w:cs="Calibri"/>
          <w:color w:val="auto"/>
          <w:sz w:val="22"/>
          <w:szCs w:val="22"/>
        </w:rPr>
        <w:t xml:space="preserve"> of which</w:t>
      </w:r>
      <w:r w:rsidR="00832E25" w:rsidRPr="00576CD2">
        <w:rPr>
          <w:rFonts w:ascii="Calibri" w:eastAsia="Calibri" w:hAnsi="Calibri" w:cs="Calibri"/>
          <w:color w:val="auto"/>
          <w:sz w:val="22"/>
          <w:szCs w:val="22"/>
        </w:rPr>
        <w:t xml:space="preserve"> </w:t>
      </w:r>
      <w:r w:rsidRPr="00576CD2">
        <w:rPr>
          <w:rFonts w:ascii="Calibri" w:eastAsia="Calibri" w:hAnsi="Calibri" w:cs="Calibri"/>
          <w:color w:val="auto"/>
          <w:sz w:val="22"/>
          <w:szCs w:val="22"/>
        </w:rPr>
        <w:t>13/22 (59%)</w:t>
      </w:r>
      <w:r w:rsidR="009B07C2" w:rsidRPr="00576CD2">
        <w:rPr>
          <w:rFonts w:ascii="Calibri" w:eastAsia="Calibri" w:hAnsi="Calibri" w:cs="Calibri"/>
          <w:color w:val="auto"/>
          <w:sz w:val="22"/>
          <w:szCs w:val="22"/>
        </w:rPr>
        <w:t xml:space="preserve"> subjects</w:t>
      </w:r>
      <w:r w:rsidRPr="00576CD2">
        <w:rPr>
          <w:rFonts w:ascii="Calibri" w:eastAsia="Calibri" w:hAnsi="Calibri" w:cs="Calibri"/>
          <w:color w:val="auto"/>
          <w:sz w:val="22"/>
          <w:szCs w:val="22"/>
        </w:rPr>
        <w:t xml:space="preserve"> ha</w:t>
      </w:r>
      <w:r w:rsidR="009B07C2" w:rsidRPr="00576CD2">
        <w:rPr>
          <w:rFonts w:ascii="Calibri" w:eastAsia="Calibri" w:hAnsi="Calibri" w:cs="Calibri"/>
          <w:color w:val="auto"/>
          <w:sz w:val="22"/>
          <w:szCs w:val="22"/>
        </w:rPr>
        <w:t>ve</w:t>
      </w:r>
      <w:r w:rsidRPr="00576CD2">
        <w:rPr>
          <w:rFonts w:ascii="Calibri" w:eastAsia="Calibri" w:hAnsi="Calibri" w:cs="Calibri"/>
          <w:color w:val="auto"/>
          <w:sz w:val="22"/>
          <w:szCs w:val="22"/>
        </w:rPr>
        <w:t xml:space="preserve"> a primary indication of Aneurysm/PAU.  A review of these enrolled subjects from European centers participating in TiGER was carried out to determine if they met the criteria for the approved RelayPro PAS protocol</w:t>
      </w:r>
      <w:r w:rsidR="00C93004" w:rsidRPr="00576CD2">
        <w:rPr>
          <w:rFonts w:ascii="Calibri" w:eastAsia="Calibri" w:hAnsi="Calibri" w:cs="Calibri"/>
          <w:color w:val="auto"/>
          <w:sz w:val="22"/>
          <w:szCs w:val="22"/>
        </w:rPr>
        <w:t xml:space="preserve"> (P200045/S001</w:t>
      </w:r>
      <w:r w:rsidR="00597C79" w:rsidRPr="00576CD2">
        <w:rPr>
          <w:rFonts w:ascii="Calibri" w:eastAsia="Calibri" w:hAnsi="Calibri" w:cs="Calibri"/>
          <w:color w:val="auto"/>
          <w:sz w:val="22"/>
          <w:szCs w:val="22"/>
        </w:rPr>
        <w:t>)</w:t>
      </w:r>
      <w:r w:rsidRPr="00576CD2">
        <w:rPr>
          <w:rFonts w:ascii="Calibri" w:eastAsia="Calibri" w:hAnsi="Calibri" w:cs="Calibri"/>
          <w:color w:val="auto"/>
          <w:sz w:val="22"/>
          <w:szCs w:val="22"/>
        </w:rPr>
        <w:t>.  Where</w:t>
      </w:r>
      <w:r w:rsidR="0001499C" w:rsidRPr="00576CD2">
        <w:rPr>
          <w:rFonts w:ascii="Calibri" w:eastAsia="Calibri" w:hAnsi="Calibri" w:cs="Calibri"/>
          <w:color w:val="auto"/>
          <w:sz w:val="22"/>
          <w:szCs w:val="22"/>
        </w:rPr>
        <w:t xml:space="preserve"> eligibility was</w:t>
      </w:r>
      <w:r w:rsidRPr="00576CD2">
        <w:rPr>
          <w:rFonts w:ascii="Calibri" w:eastAsia="Calibri" w:hAnsi="Calibri" w:cs="Calibri"/>
          <w:color w:val="auto"/>
          <w:sz w:val="22"/>
          <w:szCs w:val="22"/>
        </w:rPr>
        <w:t xml:space="preserve"> confirmed</w:t>
      </w:r>
      <w:r w:rsidR="0001499C" w:rsidRPr="00576CD2">
        <w:rPr>
          <w:rFonts w:ascii="Calibri" w:eastAsia="Calibri" w:hAnsi="Calibri" w:cs="Calibri"/>
          <w:color w:val="auto"/>
          <w:sz w:val="22"/>
          <w:szCs w:val="22"/>
        </w:rPr>
        <w:t>,</w:t>
      </w:r>
      <w:r w:rsidRPr="00576CD2">
        <w:rPr>
          <w:rFonts w:ascii="Calibri" w:eastAsia="Calibri" w:hAnsi="Calibri" w:cs="Calibri"/>
          <w:color w:val="auto"/>
          <w:sz w:val="22"/>
          <w:szCs w:val="22"/>
        </w:rPr>
        <w:t xml:space="preserve"> these subjects were entered retrospectively into the RelayPro PAS. </w:t>
      </w:r>
      <w:r w:rsidR="00555572" w:rsidRPr="00576CD2">
        <w:rPr>
          <w:rFonts w:ascii="Calibri" w:eastAsia="Calibri" w:hAnsi="Calibri" w:cs="Calibri"/>
          <w:color w:val="auto"/>
          <w:sz w:val="22"/>
          <w:szCs w:val="22"/>
        </w:rPr>
        <w:t>E</w:t>
      </w:r>
      <w:r w:rsidRPr="00576CD2">
        <w:rPr>
          <w:rFonts w:ascii="Calibri" w:eastAsia="Calibri" w:hAnsi="Calibri" w:cs="Calibri"/>
          <w:color w:val="auto"/>
          <w:sz w:val="22"/>
          <w:szCs w:val="22"/>
        </w:rPr>
        <w:t>leven (11) subjects have been confirmed as eligible and included</w:t>
      </w:r>
      <w:r w:rsidR="00555572" w:rsidRPr="00576CD2">
        <w:rPr>
          <w:rFonts w:ascii="Calibri" w:eastAsia="Calibri" w:hAnsi="Calibri" w:cs="Calibri"/>
          <w:color w:val="auto"/>
          <w:sz w:val="22"/>
          <w:szCs w:val="22"/>
        </w:rPr>
        <w:t xml:space="preserve"> in RelayPro PAS</w:t>
      </w:r>
      <w:r w:rsidRPr="00576CD2">
        <w:rPr>
          <w:rFonts w:ascii="Calibri" w:eastAsia="Calibri" w:hAnsi="Calibri" w:cs="Calibri"/>
          <w:color w:val="auto"/>
          <w:sz w:val="22"/>
          <w:szCs w:val="22"/>
        </w:rPr>
        <w:t>. Six (6</w:t>
      </w:r>
      <w:r w:rsidR="00555572" w:rsidRPr="00576CD2">
        <w:rPr>
          <w:rFonts w:ascii="Calibri" w:eastAsia="Calibri" w:hAnsi="Calibri" w:cs="Calibri"/>
          <w:color w:val="auto"/>
          <w:sz w:val="22"/>
          <w:szCs w:val="22"/>
        </w:rPr>
        <w:t>/11</w:t>
      </w:r>
      <w:r w:rsidRPr="00576CD2">
        <w:rPr>
          <w:rFonts w:ascii="Calibri" w:eastAsia="Calibri" w:hAnsi="Calibri" w:cs="Calibri"/>
          <w:color w:val="auto"/>
          <w:sz w:val="22"/>
          <w:szCs w:val="22"/>
        </w:rPr>
        <w:t xml:space="preserve">) subjects have retrospectively enrolled with the remaining five </w:t>
      </w:r>
      <w:r w:rsidR="00555572" w:rsidRPr="00576CD2">
        <w:rPr>
          <w:rFonts w:ascii="Calibri" w:eastAsia="Calibri" w:hAnsi="Calibri" w:cs="Calibri"/>
          <w:color w:val="auto"/>
          <w:sz w:val="22"/>
          <w:szCs w:val="22"/>
        </w:rPr>
        <w:t xml:space="preserve">(5) </w:t>
      </w:r>
      <w:r w:rsidRPr="00576CD2">
        <w:rPr>
          <w:rFonts w:ascii="Calibri" w:eastAsia="Calibri" w:hAnsi="Calibri" w:cs="Calibri"/>
          <w:color w:val="auto"/>
          <w:sz w:val="22"/>
          <w:szCs w:val="22"/>
        </w:rPr>
        <w:t>enrolled prospectively</w:t>
      </w:r>
      <w:r w:rsidR="00555572" w:rsidRPr="00576CD2">
        <w:rPr>
          <w:rFonts w:ascii="Calibri" w:eastAsia="Calibri" w:hAnsi="Calibri" w:cs="Calibri"/>
          <w:color w:val="auto"/>
          <w:sz w:val="22"/>
          <w:szCs w:val="22"/>
        </w:rPr>
        <w:t xml:space="preserve">. </w:t>
      </w:r>
      <w:r w:rsidRPr="00576CD2">
        <w:rPr>
          <w:rFonts w:ascii="Calibri" w:eastAsia="Calibri" w:hAnsi="Calibri" w:cs="Calibri"/>
          <w:color w:val="auto"/>
          <w:sz w:val="22"/>
          <w:szCs w:val="22"/>
        </w:rPr>
        <w:t xml:space="preserve">The </w:t>
      </w:r>
      <w:r w:rsidR="00C5059D" w:rsidRPr="00576CD2">
        <w:rPr>
          <w:rFonts w:ascii="Calibri" w:eastAsia="Calibri" w:hAnsi="Calibri" w:cs="Calibri"/>
          <w:color w:val="auto"/>
          <w:sz w:val="22"/>
          <w:szCs w:val="22"/>
        </w:rPr>
        <w:t xml:space="preserve">other </w:t>
      </w:r>
      <w:r w:rsidRPr="00576CD2">
        <w:rPr>
          <w:rFonts w:ascii="Calibri" w:eastAsia="Calibri" w:hAnsi="Calibri" w:cs="Calibri"/>
          <w:color w:val="auto"/>
          <w:sz w:val="22"/>
          <w:szCs w:val="22"/>
        </w:rPr>
        <w:t xml:space="preserve">two (2) subjects </w:t>
      </w:r>
      <w:r w:rsidR="00C5059D" w:rsidRPr="00576CD2">
        <w:rPr>
          <w:rFonts w:ascii="Calibri" w:eastAsia="Calibri" w:hAnsi="Calibri" w:cs="Calibri"/>
          <w:color w:val="auto"/>
          <w:sz w:val="22"/>
          <w:szCs w:val="22"/>
        </w:rPr>
        <w:t xml:space="preserve">were </w:t>
      </w:r>
      <w:r w:rsidRPr="00576CD2">
        <w:rPr>
          <w:rFonts w:ascii="Calibri" w:eastAsia="Calibri" w:hAnsi="Calibri" w:cs="Calibri"/>
          <w:color w:val="auto"/>
          <w:sz w:val="22"/>
          <w:szCs w:val="22"/>
        </w:rPr>
        <w:t>not eligible for inclusion in the PAS due to the site follow-up regime being different from the PAS requirements (Site 012, Netherlands). </w:t>
      </w:r>
      <w:r w:rsidR="00C5059D" w:rsidRPr="00576CD2">
        <w:rPr>
          <w:rFonts w:ascii="Calibri" w:eastAsia="Calibri" w:hAnsi="Calibri" w:cs="Calibri"/>
          <w:color w:val="auto"/>
          <w:sz w:val="22"/>
          <w:szCs w:val="22"/>
        </w:rPr>
        <w:t xml:space="preserve"> Six</w:t>
      </w:r>
      <w:r w:rsidR="64829358" w:rsidRPr="00576CD2">
        <w:rPr>
          <w:rFonts w:ascii="Calibri" w:eastAsia="Calibri" w:hAnsi="Calibri" w:cs="Calibri"/>
          <w:color w:val="auto"/>
          <w:sz w:val="22"/>
          <w:szCs w:val="22"/>
        </w:rPr>
        <w:t xml:space="preserve"> (</w:t>
      </w:r>
      <w:r w:rsidR="00C5059D" w:rsidRPr="00576CD2">
        <w:rPr>
          <w:rFonts w:ascii="Calibri" w:eastAsia="Calibri" w:hAnsi="Calibri" w:cs="Calibri"/>
          <w:color w:val="auto"/>
          <w:sz w:val="22"/>
          <w:szCs w:val="22"/>
        </w:rPr>
        <w:t>6</w:t>
      </w:r>
      <w:r w:rsidR="64829358" w:rsidRPr="00576CD2">
        <w:rPr>
          <w:rFonts w:ascii="Calibri" w:eastAsia="Calibri" w:hAnsi="Calibri" w:cs="Calibri"/>
          <w:color w:val="auto"/>
          <w:sz w:val="22"/>
          <w:szCs w:val="22"/>
        </w:rPr>
        <w:t xml:space="preserve">) subjects have completed the </w:t>
      </w:r>
      <w:r w:rsidR="00936BC3" w:rsidRPr="00576CD2">
        <w:rPr>
          <w:rFonts w:ascii="Calibri" w:eastAsia="Calibri" w:hAnsi="Calibri" w:cs="Calibri"/>
          <w:color w:val="auto"/>
          <w:sz w:val="22"/>
          <w:szCs w:val="22"/>
        </w:rPr>
        <w:t>early</w:t>
      </w:r>
      <w:r w:rsidR="64829358" w:rsidRPr="00576CD2">
        <w:rPr>
          <w:rFonts w:ascii="Calibri" w:eastAsia="Calibri" w:hAnsi="Calibri" w:cs="Calibri"/>
          <w:color w:val="auto"/>
          <w:sz w:val="22"/>
          <w:szCs w:val="22"/>
        </w:rPr>
        <w:t xml:space="preserve"> follow-up</w:t>
      </w:r>
      <w:r w:rsidR="00936BC3" w:rsidRPr="00576CD2">
        <w:rPr>
          <w:rFonts w:ascii="Calibri" w:eastAsia="Calibri" w:hAnsi="Calibri" w:cs="Calibri"/>
          <w:color w:val="auto"/>
          <w:sz w:val="22"/>
          <w:szCs w:val="22"/>
        </w:rPr>
        <w:t xml:space="preserve"> visit (</w:t>
      </w:r>
      <w:r w:rsidR="00AE741A" w:rsidRPr="00576CD2">
        <w:rPr>
          <w:rFonts w:ascii="Calibri" w:eastAsia="Calibri" w:hAnsi="Calibri" w:cs="Calibri"/>
          <w:color w:val="auto"/>
          <w:sz w:val="22"/>
          <w:szCs w:val="22"/>
        </w:rPr>
        <w:t>Discharge/</w:t>
      </w:r>
      <w:r w:rsidR="00936BC3" w:rsidRPr="00576CD2">
        <w:rPr>
          <w:rFonts w:ascii="Calibri" w:eastAsia="Calibri" w:hAnsi="Calibri" w:cs="Calibri"/>
          <w:color w:val="auto"/>
          <w:sz w:val="22"/>
          <w:szCs w:val="22"/>
        </w:rPr>
        <w:t>30</w:t>
      </w:r>
      <w:r w:rsidR="00AE741A" w:rsidRPr="00576CD2">
        <w:rPr>
          <w:rFonts w:ascii="Calibri" w:eastAsia="Calibri" w:hAnsi="Calibri" w:cs="Calibri"/>
          <w:color w:val="auto"/>
          <w:sz w:val="22"/>
          <w:szCs w:val="22"/>
        </w:rPr>
        <w:t xml:space="preserve"> </w:t>
      </w:r>
      <w:r w:rsidR="00936BC3" w:rsidRPr="00576CD2">
        <w:rPr>
          <w:rFonts w:ascii="Calibri" w:eastAsia="Calibri" w:hAnsi="Calibri" w:cs="Calibri"/>
          <w:color w:val="auto"/>
          <w:sz w:val="22"/>
          <w:szCs w:val="22"/>
        </w:rPr>
        <w:t>days)</w:t>
      </w:r>
      <w:r w:rsidR="00DD42C2" w:rsidRPr="00576CD2">
        <w:rPr>
          <w:rFonts w:ascii="Calibri" w:eastAsia="Calibri" w:hAnsi="Calibri" w:cs="Calibri"/>
          <w:color w:val="auto"/>
          <w:sz w:val="22"/>
          <w:szCs w:val="22"/>
        </w:rPr>
        <w:t xml:space="preserve">, </w:t>
      </w:r>
      <w:r w:rsidR="00C5059D" w:rsidRPr="00576CD2">
        <w:rPr>
          <w:rFonts w:ascii="Calibri" w:eastAsia="Calibri" w:hAnsi="Calibri" w:cs="Calibri"/>
          <w:color w:val="auto"/>
          <w:sz w:val="22"/>
          <w:szCs w:val="22"/>
        </w:rPr>
        <w:t xml:space="preserve">one </w:t>
      </w:r>
      <w:r w:rsidR="00DD42C2" w:rsidRPr="00576CD2">
        <w:rPr>
          <w:rFonts w:ascii="Calibri" w:eastAsia="Calibri" w:hAnsi="Calibri" w:cs="Calibri"/>
          <w:color w:val="auto"/>
          <w:sz w:val="22"/>
          <w:szCs w:val="22"/>
        </w:rPr>
        <w:t>(</w:t>
      </w:r>
      <w:r w:rsidR="00C5059D" w:rsidRPr="00576CD2">
        <w:rPr>
          <w:rFonts w:ascii="Calibri" w:eastAsia="Calibri" w:hAnsi="Calibri" w:cs="Calibri"/>
          <w:color w:val="auto"/>
          <w:sz w:val="22"/>
          <w:szCs w:val="22"/>
        </w:rPr>
        <w:t>1</w:t>
      </w:r>
      <w:r w:rsidR="00DD42C2" w:rsidRPr="00576CD2">
        <w:rPr>
          <w:rFonts w:ascii="Calibri" w:eastAsia="Calibri" w:hAnsi="Calibri" w:cs="Calibri"/>
          <w:color w:val="auto"/>
          <w:sz w:val="22"/>
          <w:szCs w:val="22"/>
        </w:rPr>
        <w:t>) subject ha</w:t>
      </w:r>
      <w:r w:rsidR="00C5059D" w:rsidRPr="00576CD2">
        <w:rPr>
          <w:rFonts w:ascii="Calibri" w:eastAsia="Calibri" w:hAnsi="Calibri" w:cs="Calibri"/>
          <w:color w:val="auto"/>
          <w:sz w:val="22"/>
          <w:szCs w:val="22"/>
        </w:rPr>
        <w:t>s</w:t>
      </w:r>
      <w:r w:rsidR="00DD42C2" w:rsidRPr="00576CD2">
        <w:rPr>
          <w:rFonts w:ascii="Calibri" w:eastAsia="Calibri" w:hAnsi="Calibri" w:cs="Calibri"/>
          <w:color w:val="auto"/>
          <w:sz w:val="22"/>
          <w:szCs w:val="22"/>
        </w:rPr>
        <w:t xml:space="preserve"> completed </w:t>
      </w:r>
      <w:r w:rsidR="00FF5552" w:rsidRPr="00576CD2">
        <w:rPr>
          <w:rFonts w:ascii="Calibri" w:eastAsia="Calibri" w:hAnsi="Calibri" w:cs="Calibri"/>
          <w:color w:val="auto"/>
          <w:sz w:val="22"/>
          <w:szCs w:val="22"/>
        </w:rPr>
        <w:t>1 year follow-up</w:t>
      </w:r>
      <w:r w:rsidR="00AE741A" w:rsidRPr="00576CD2">
        <w:rPr>
          <w:rFonts w:ascii="Calibri" w:eastAsia="Calibri" w:hAnsi="Calibri" w:cs="Calibri"/>
          <w:color w:val="auto"/>
          <w:sz w:val="22"/>
          <w:szCs w:val="22"/>
        </w:rPr>
        <w:t xml:space="preserve"> and remain</w:t>
      </w:r>
      <w:r w:rsidR="004C213F" w:rsidRPr="00576CD2">
        <w:rPr>
          <w:rFonts w:ascii="Calibri" w:eastAsia="Calibri" w:hAnsi="Calibri" w:cs="Calibri"/>
          <w:color w:val="auto"/>
          <w:sz w:val="22"/>
          <w:szCs w:val="22"/>
        </w:rPr>
        <w:t>s</w:t>
      </w:r>
      <w:r w:rsidR="00AE741A" w:rsidRPr="00576CD2">
        <w:rPr>
          <w:rFonts w:ascii="Calibri" w:eastAsia="Calibri" w:hAnsi="Calibri" w:cs="Calibri"/>
          <w:color w:val="auto"/>
          <w:sz w:val="22"/>
          <w:szCs w:val="22"/>
        </w:rPr>
        <w:t xml:space="preserve"> </w:t>
      </w:r>
      <w:r w:rsidR="00DD42C2" w:rsidRPr="00576CD2">
        <w:rPr>
          <w:rFonts w:ascii="Calibri" w:eastAsia="Calibri" w:hAnsi="Calibri" w:cs="Calibri"/>
          <w:color w:val="auto"/>
          <w:sz w:val="22"/>
          <w:szCs w:val="22"/>
        </w:rPr>
        <w:t xml:space="preserve">in </w:t>
      </w:r>
      <w:r w:rsidR="00AE741A" w:rsidRPr="00576CD2">
        <w:rPr>
          <w:rFonts w:ascii="Calibri" w:eastAsia="Calibri" w:hAnsi="Calibri" w:cs="Calibri"/>
          <w:color w:val="auto"/>
          <w:sz w:val="22"/>
          <w:szCs w:val="22"/>
        </w:rPr>
        <w:t>active</w:t>
      </w:r>
      <w:r w:rsidR="00DD42C2" w:rsidRPr="00576CD2">
        <w:rPr>
          <w:rFonts w:ascii="Calibri" w:eastAsia="Calibri" w:hAnsi="Calibri" w:cs="Calibri"/>
          <w:color w:val="auto"/>
          <w:sz w:val="22"/>
          <w:szCs w:val="22"/>
        </w:rPr>
        <w:t xml:space="preserve"> follow-up</w:t>
      </w:r>
      <w:r w:rsidR="64829358" w:rsidRPr="00576CD2">
        <w:rPr>
          <w:rFonts w:ascii="Calibri" w:eastAsia="Calibri" w:hAnsi="Calibri" w:cs="Calibri"/>
          <w:color w:val="auto"/>
          <w:sz w:val="22"/>
          <w:szCs w:val="22"/>
        </w:rPr>
        <w:t xml:space="preserve"> in the study, </w:t>
      </w:r>
      <w:r w:rsidR="00E831B6" w:rsidRPr="00576CD2">
        <w:rPr>
          <w:rFonts w:ascii="Calibri" w:eastAsia="Calibri" w:hAnsi="Calibri" w:cs="Calibri"/>
          <w:color w:val="auto"/>
          <w:sz w:val="22"/>
          <w:szCs w:val="22"/>
        </w:rPr>
        <w:t>no</w:t>
      </w:r>
      <w:r w:rsidR="64829358" w:rsidRPr="00576CD2">
        <w:rPr>
          <w:rFonts w:ascii="Calibri" w:eastAsia="Calibri" w:hAnsi="Calibri" w:cs="Calibri"/>
          <w:color w:val="auto"/>
          <w:sz w:val="22"/>
          <w:szCs w:val="22"/>
        </w:rPr>
        <w:t xml:space="preserve"> subjects have expired</w:t>
      </w:r>
      <w:r w:rsidR="00FF5552" w:rsidRPr="00576CD2">
        <w:rPr>
          <w:rFonts w:ascii="Calibri" w:eastAsia="Calibri" w:hAnsi="Calibri" w:cs="Calibri"/>
          <w:color w:val="auto"/>
          <w:sz w:val="22"/>
          <w:szCs w:val="22"/>
        </w:rPr>
        <w:t xml:space="preserve"> or</w:t>
      </w:r>
      <w:r w:rsidR="64829358" w:rsidRPr="00576CD2">
        <w:rPr>
          <w:rFonts w:ascii="Calibri" w:eastAsia="Calibri" w:hAnsi="Calibri" w:cs="Calibri"/>
          <w:color w:val="auto"/>
          <w:sz w:val="22"/>
          <w:szCs w:val="22"/>
        </w:rPr>
        <w:t xml:space="preserve"> </w:t>
      </w:r>
      <w:r w:rsidR="00FF5552" w:rsidRPr="00576CD2">
        <w:rPr>
          <w:rFonts w:ascii="Calibri" w:eastAsia="Calibri" w:hAnsi="Calibri" w:cs="Calibri"/>
          <w:color w:val="auto"/>
          <w:sz w:val="22"/>
          <w:szCs w:val="22"/>
        </w:rPr>
        <w:t>withdrawn,</w:t>
      </w:r>
      <w:r w:rsidR="64829358" w:rsidRPr="00576CD2">
        <w:rPr>
          <w:rFonts w:ascii="Calibri" w:eastAsia="Calibri" w:hAnsi="Calibri" w:cs="Calibri"/>
          <w:color w:val="auto"/>
          <w:sz w:val="22"/>
          <w:szCs w:val="22"/>
        </w:rPr>
        <w:t xml:space="preserve"> and </w:t>
      </w:r>
      <w:r w:rsidR="00E831B6" w:rsidRPr="00576CD2">
        <w:rPr>
          <w:rFonts w:ascii="Calibri" w:eastAsia="Calibri" w:hAnsi="Calibri" w:cs="Calibri"/>
          <w:color w:val="auto"/>
          <w:sz w:val="22"/>
          <w:szCs w:val="22"/>
        </w:rPr>
        <w:t>none</w:t>
      </w:r>
      <w:r w:rsidR="64829358" w:rsidRPr="00576CD2">
        <w:rPr>
          <w:rFonts w:ascii="Calibri" w:eastAsia="Calibri" w:hAnsi="Calibri" w:cs="Calibri"/>
          <w:color w:val="auto"/>
          <w:sz w:val="22"/>
          <w:szCs w:val="22"/>
        </w:rPr>
        <w:t xml:space="preserve"> are lost to follow-up.</w:t>
      </w:r>
      <w:r w:rsidR="00C5059D" w:rsidRPr="00576CD2">
        <w:rPr>
          <w:rFonts w:ascii="Calibri" w:eastAsia="Calibri" w:hAnsi="Calibri" w:cs="Calibri"/>
          <w:color w:val="auto"/>
          <w:sz w:val="22"/>
          <w:szCs w:val="22"/>
        </w:rPr>
        <w:t xml:space="preserve"> </w:t>
      </w:r>
    </w:p>
    <w:p w14:paraId="7628E4A0" w14:textId="77777777" w:rsidR="00D40130" w:rsidRPr="00576CD2" w:rsidRDefault="00D40130" w:rsidP="000C69F0">
      <w:pPr>
        <w:pStyle w:val="Default"/>
        <w:ind w:left="700"/>
        <w:jc w:val="both"/>
        <w:rPr>
          <w:rFonts w:ascii="Calibri" w:eastAsia="Calibri" w:hAnsi="Calibri" w:cs="Calibri"/>
          <w:color w:val="auto"/>
          <w:sz w:val="22"/>
          <w:szCs w:val="22"/>
        </w:rPr>
      </w:pPr>
    </w:p>
    <w:p w14:paraId="5403A1BB" w14:textId="3906244B" w:rsidR="00412D3F" w:rsidRPr="00576CD2" w:rsidRDefault="006E5AF6" w:rsidP="006C774B">
      <w:pPr>
        <w:spacing w:line="240" w:lineRule="auto"/>
        <w:ind w:left="700"/>
        <w:jc w:val="both"/>
        <w:rPr>
          <w:rFonts w:cstheme="minorHAnsi"/>
          <w:i/>
          <w:iCs/>
        </w:rPr>
      </w:pPr>
      <w:r w:rsidRPr="00576CD2">
        <w:rPr>
          <w:rFonts w:cstheme="minorHAnsi"/>
          <w:i/>
          <w:iCs/>
        </w:rPr>
        <w:t>Results:</w:t>
      </w:r>
    </w:p>
    <w:p w14:paraId="4F1E7E11" w14:textId="1BBF5121" w:rsidR="0026031B" w:rsidRPr="00576CD2" w:rsidRDefault="001A1179" w:rsidP="006C774B">
      <w:pPr>
        <w:spacing w:after="0" w:line="240" w:lineRule="auto"/>
        <w:ind w:left="700" w:firstLine="20"/>
        <w:jc w:val="both"/>
        <w:rPr>
          <w:rFonts w:cstheme="minorHAnsi"/>
        </w:rPr>
      </w:pPr>
      <w:r w:rsidRPr="00576CD2">
        <w:rPr>
          <w:rFonts w:cstheme="minorHAnsi"/>
          <w:b/>
          <w:bCs/>
        </w:rPr>
        <w:fldChar w:fldCharType="begin"/>
      </w:r>
      <w:r w:rsidRPr="00576CD2">
        <w:rPr>
          <w:rFonts w:cstheme="minorHAnsi"/>
        </w:rPr>
        <w:instrText xml:space="preserve"> REF _Ref112945361 \h </w:instrText>
      </w:r>
      <w:r w:rsidRPr="00576CD2">
        <w:rPr>
          <w:rFonts w:cstheme="minorHAnsi"/>
          <w:b/>
          <w:bCs/>
        </w:rPr>
        <w:instrText xml:space="preserve"> \* MERGEFORMAT </w:instrText>
      </w:r>
      <w:r w:rsidRPr="00576CD2">
        <w:rPr>
          <w:rFonts w:cstheme="minorHAnsi"/>
          <w:b/>
          <w:bCs/>
        </w:rPr>
      </w:r>
      <w:r w:rsidRPr="00576CD2">
        <w:rPr>
          <w:rFonts w:cstheme="minorHAnsi"/>
          <w:b/>
          <w:bCs/>
        </w:rPr>
        <w:fldChar w:fldCharType="separate"/>
      </w:r>
      <w:r w:rsidR="007A0BFD" w:rsidRPr="007A0BFD">
        <w:rPr>
          <w:b/>
          <w:bCs/>
        </w:rPr>
        <w:t xml:space="preserve">Table </w:t>
      </w:r>
      <w:r w:rsidR="007A0BFD" w:rsidRPr="007A0BFD">
        <w:rPr>
          <w:b/>
          <w:bCs/>
          <w:noProof/>
        </w:rPr>
        <w:t>1</w:t>
      </w:r>
      <w:r w:rsidRPr="00576CD2">
        <w:rPr>
          <w:rFonts w:cstheme="minorHAnsi"/>
          <w:b/>
          <w:bCs/>
        </w:rPr>
        <w:fldChar w:fldCharType="end"/>
      </w:r>
      <w:r w:rsidR="00F34F3A" w:rsidRPr="00576CD2">
        <w:rPr>
          <w:rFonts w:cstheme="minorHAnsi"/>
        </w:rPr>
        <w:t xml:space="preserve"> </w:t>
      </w:r>
      <w:r w:rsidR="00236B83" w:rsidRPr="00576CD2">
        <w:rPr>
          <w:rFonts w:cstheme="minorHAnsi"/>
        </w:rPr>
        <w:t xml:space="preserve">and </w:t>
      </w:r>
      <w:r w:rsidR="00BC75B5" w:rsidRPr="00576CD2">
        <w:rPr>
          <w:rFonts w:cstheme="minorHAnsi"/>
          <w:b/>
          <w:bCs/>
        </w:rPr>
        <w:t xml:space="preserve">Table </w:t>
      </w:r>
      <w:r w:rsidR="00977315" w:rsidRPr="00576CD2">
        <w:rPr>
          <w:rFonts w:cstheme="minorHAnsi"/>
          <w:b/>
          <w:bCs/>
        </w:rPr>
        <w:t>2</w:t>
      </w:r>
      <w:r w:rsidR="00BC75B5" w:rsidRPr="00576CD2">
        <w:rPr>
          <w:rFonts w:cstheme="minorHAnsi"/>
        </w:rPr>
        <w:t xml:space="preserve"> </w:t>
      </w:r>
      <w:r w:rsidR="00F34F3A" w:rsidRPr="00576CD2">
        <w:rPr>
          <w:rFonts w:cstheme="minorHAnsi"/>
        </w:rPr>
        <w:t>summarize the current clinical data for the IDE cohort</w:t>
      </w:r>
      <w:r w:rsidR="00BC75B5" w:rsidRPr="00576CD2">
        <w:rPr>
          <w:rFonts w:cstheme="minorHAnsi"/>
        </w:rPr>
        <w:t xml:space="preserve"> for the Pivotal and Continued Access Cohorts. </w:t>
      </w:r>
      <w:r w:rsidR="00B5505C" w:rsidRPr="00576CD2">
        <w:rPr>
          <w:rFonts w:cstheme="minorHAnsi"/>
          <w:b/>
          <w:bCs/>
        </w:rPr>
        <w:t xml:space="preserve">Table </w:t>
      </w:r>
      <w:r w:rsidR="006C59A2" w:rsidRPr="00576CD2">
        <w:rPr>
          <w:rFonts w:cstheme="minorHAnsi"/>
          <w:b/>
          <w:bCs/>
        </w:rPr>
        <w:t>3</w:t>
      </w:r>
      <w:r w:rsidR="00330115" w:rsidRPr="00576CD2">
        <w:rPr>
          <w:rFonts w:cstheme="minorHAnsi"/>
        </w:rPr>
        <w:t xml:space="preserve"> </w:t>
      </w:r>
      <w:r w:rsidR="00F34F3A" w:rsidRPr="00576CD2">
        <w:rPr>
          <w:rFonts w:cstheme="minorHAnsi"/>
        </w:rPr>
        <w:t xml:space="preserve">contains the latest PAS data. </w:t>
      </w:r>
    </w:p>
    <w:p w14:paraId="3D8A4ACA" w14:textId="77777777" w:rsidR="005F6D68" w:rsidRPr="00576CD2" w:rsidRDefault="005F6D68" w:rsidP="006C774B">
      <w:pPr>
        <w:pStyle w:val="ListParagraph"/>
        <w:spacing w:after="0" w:line="240" w:lineRule="auto"/>
        <w:ind w:left="700"/>
        <w:jc w:val="both"/>
        <w:rPr>
          <w:rFonts w:cstheme="minorHAnsi"/>
        </w:rPr>
      </w:pPr>
    </w:p>
    <w:p w14:paraId="66AE8C3D" w14:textId="77777777" w:rsidR="00974DD3" w:rsidRPr="00576CD2" w:rsidRDefault="00974DD3" w:rsidP="006C774B">
      <w:pPr>
        <w:spacing w:line="240" w:lineRule="auto"/>
        <w:ind w:left="720"/>
        <w:jc w:val="both"/>
        <w:rPr>
          <w:rFonts w:cstheme="minorHAnsi"/>
          <w:i/>
          <w:iCs/>
        </w:rPr>
      </w:pPr>
      <w:r w:rsidRPr="00576CD2">
        <w:rPr>
          <w:i/>
        </w:rPr>
        <w:t>US Pivotal Study (including Continued Access Cohort):</w:t>
      </w:r>
    </w:p>
    <w:p w14:paraId="0B30B4FE" w14:textId="21700054" w:rsidR="00804AAC" w:rsidRPr="00576CD2" w:rsidRDefault="00804AAC" w:rsidP="006C774B">
      <w:pPr>
        <w:spacing w:after="0" w:line="240" w:lineRule="auto"/>
        <w:ind w:left="700"/>
        <w:jc w:val="both"/>
        <w:rPr>
          <w:rStyle w:val="eop"/>
          <w:rFonts w:cstheme="minorHAnsi"/>
          <w:bCs/>
          <w:shd w:val="clear" w:color="auto" w:fill="FFFFFF"/>
        </w:rPr>
      </w:pPr>
      <w:r w:rsidRPr="00576CD2">
        <w:rPr>
          <w:rStyle w:val="eop"/>
          <w:rFonts w:cstheme="minorHAnsi"/>
          <w:bCs/>
          <w:shd w:val="clear" w:color="auto" w:fill="FFFFFF"/>
        </w:rPr>
        <w:t xml:space="preserve">Intervention Free Technical Success, based on site-reported data was achieved for all enrolled subjects </w:t>
      </w:r>
      <w:r w:rsidR="00B5099C" w:rsidRPr="00576CD2">
        <w:rPr>
          <w:rStyle w:val="eop"/>
          <w:rFonts w:cstheme="minorHAnsi"/>
          <w:bCs/>
          <w:shd w:val="clear" w:color="auto" w:fill="FFFFFF"/>
        </w:rPr>
        <w:t>(</w:t>
      </w:r>
      <w:r w:rsidRPr="00576CD2">
        <w:rPr>
          <w:rStyle w:val="eop"/>
          <w:rFonts w:cstheme="minorHAnsi"/>
          <w:bCs/>
          <w:shd w:val="clear" w:color="auto" w:fill="FFFFFF"/>
        </w:rPr>
        <w:t>100%</w:t>
      </w:r>
      <w:r w:rsidR="00B5099C" w:rsidRPr="00576CD2">
        <w:rPr>
          <w:rStyle w:val="eop"/>
          <w:rFonts w:cstheme="minorHAnsi"/>
          <w:bCs/>
          <w:shd w:val="clear" w:color="auto" w:fill="FFFFFF"/>
        </w:rPr>
        <w:t>)</w:t>
      </w:r>
      <w:r w:rsidRPr="00576CD2">
        <w:rPr>
          <w:rStyle w:val="eop"/>
          <w:rFonts w:cstheme="minorHAnsi"/>
          <w:bCs/>
          <w:shd w:val="clear" w:color="auto" w:fill="FFFFFF"/>
        </w:rPr>
        <w:t>, with Type II endoleak being reported in 8 subjects and Type I endoleak being reported in 2 subjects at the end of the procedure.</w:t>
      </w:r>
    </w:p>
    <w:p w14:paraId="102EB828" w14:textId="77777777" w:rsidR="00804AAC" w:rsidRPr="00576CD2" w:rsidRDefault="00804AAC" w:rsidP="006C774B">
      <w:pPr>
        <w:spacing w:after="0" w:line="240" w:lineRule="auto"/>
        <w:ind w:left="700"/>
        <w:rPr>
          <w:rStyle w:val="eop"/>
          <w:rFonts w:cstheme="minorHAnsi"/>
          <w:bCs/>
          <w:shd w:val="clear" w:color="auto" w:fill="FFFFFF"/>
        </w:rPr>
      </w:pPr>
    </w:p>
    <w:p w14:paraId="48E8AE1E" w14:textId="4BB3F064" w:rsidR="00ED0F60" w:rsidRPr="00576CD2" w:rsidRDefault="21E7D32A" w:rsidP="006C774B">
      <w:pPr>
        <w:pStyle w:val="ListParagraph"/>
        <w:spacing w:after="0" w:line="240" w:lineRule="auto"/>
        <w:ind w:left="700"/>
        <w:jc w:val="both"/>
        <w:rPr>
          <w:highlight w:val="yellow"/>
        </w:rPr>
      </w:pPr>
      <w:r w:rsidRPr="00576CD2">
        <w:t xml:space="preserve">Data from the </w:t>
      </w:r>
      <w:r w:rsidR="006D6B0E" w:rsidRPr="00576CD2">
        <w:t xml:space="preserve">RelayPro-A </w:t>
      </w:r>
      <w:r w:rsidRPr="00576CD2">
        <w:t xml:space="preserve">IDE </w:t>
      </w:r>
      <w:r w:rsidR="00B42D5B" w:rsidRPr="00576CD2">
        <w:t>Pi</w:t>
      </w:r>
      <w:r w:rsidR="006C2972" w:rsidRPr="00576CD2">
        <w:t xml:space="preserve">votal </w:t>
      </w:r>
      <w:r w:rsidRPr="00576CD2">
        <w:t xml:space="preserve">study subjects in </w:t>
      </w:r>
      <w:r w:rsidR="00EE1EF1" w:rsidRPr="00576CD2">
        <w:fldChar w:fldCharType="begin"/>
      </w:r>
      <w:r w:rsidR="00EE1EF1" w:rsidRPr="00576CD2">
        <w:instrText xml:space="preserve"> REF _Ref112945361 \h  \* MERGEFORMAT </w:instrText>
      </w:r>
      <w:r w:rsidR="00EE1EF1" w:rsidRPr="00576CD2">
        <w:fldChar w:fldCharType="separate"/>
      </w:r>
      <w:r w:rsidR="007A0BFD" w:rsidRPr="007A0BFD">
        <w:rPr>
          <w:b/>
          <w:bCs/>
        </w:rPr>
        <w:t xml:space="preserve">Table </w:t>
      </w:r>
      <w:r w:rsidR="007A0BFD" w:rsidRPr="007A0BFD">
        <w:rPr>
          <w:b/>
          <w:bCs/>
          <w:noProof/>
        </w:rPr>
        <w:t>1</w:t>
      </w:r>
      <w:r w:rsidR="00EE1EF1" w:rsidRPr="00576CD2">
        <w:fldChar w:fldCharType="end"/>
      </w:r>
      <w:r w:rsidR="00EE1EF1" w:rsidRPr="00576CD2">
        <w:t xml:space="preserve"> </w:t>
      </w:r>
      <w:r w:rsidRPr="00576CD2">
        <w:t>shows that</w:t>
      </w:r>
      <w:r w:rsidR="00C8353E" w:rsidRPr="00576CD2">
        <w:t xml:space="preserve"> since the last reporting period</w:t>
      </w:r>
      <w:r w:rsidR="006B793B" w:rsidRPr="00576CD2">
        <w:t xml:space="preserve"> (</w:t>
      </w:r>
      <w:r w:rsidR="00A06E5E" w:rsidRPr="00576CD2">
        <w:t xml:space="preserve">See </w:t>
      </w:r>
      <w:r w:rsidR="009017BC" w:rsidRPr="00576CD2">
        <w:t>SSED</w:t>
      </w:r>
      <w:r w:rsidR="0059079B" w:rsidRPr="00576CD2">
        <w:t xml:space="preserve"> D</w:t>
      </w:r>
      <w:r w:rsidR="00A64AD4" w:rsidRPr="00576CD2">
        <w:t xml:space="preserve">ata </w:t>
      </w:r>
      <w:r w:rsidR="00732C0B" w:rsidRPr="00576CD2">
        <w:t>S</w:t>
      </w:r>
      <w:r w:rsidR="00A64AD4" w:rsidRPr="00576CD2">
        <w:t>napshot/</w:t>
      </w:r>
      <w:r w:rsidR="00732C0B" w:rsidRPr="00576CD2">
        <w:t>L</w:t>
      </w:r>
      <w:r w:rsidR="00A64AD4" w:rsidRPr="00576CD2">
        <w:t xml:space="preserve">ock </w:t>
      </w:r>
      <w:r w:rsidR="00732C0B" w:rsidRPr="00576CD2">
        <w:t>D</w:t>
      </w:r>
      <w:r w:rsidR="00A64AD4" w:rsidRPr="00576CD2">
        <w:t xml:space="preserve">ate of </w:t>
      </w:r>
      <w:r w:rsidR="006B793B" w:rsidRPr="00576CD2">
        <w:t>7 Dec 2020)</w:t>
      </w:r>
      <w:r w:rsidRPr="00576CD2">
        <w:t xml:space="preserve"> there have been </w:t>
      </w:r>
      <w:r w:rsidR="006D2978" w:rsidRPr="00576CD2">
        <w:t xml:space="preserve">5 </w:t>
      </w:r>
      <w:r w:rsidR="002E7EDE" w:rsidRPr="00576CD2">
        <w:t xml:space="preserve">cases of </w:t>
      </w:r>
      <w:r w:rsidR="00DF1487" w:rsidRPr="00576CD2">
        <w:t>all-cause</w:t>
      </w:r>
      <w:r w:rsidR="006D2978" w:rsidRPr="00576CD2">
        <w:t xml:space="preserve"> mortality</w:t>
      </w:r>
      <w:r w:rsidR="000D1702" w:rsidRPr="00576CD2">
        <w:t xml:space="preserve">, </w:t>
      </w:r>
      <w:r w:rsidR="006D2978" w:rsidRPr="00576CD2">
        <w:t>2 at 2-year and 3 at 3-year</w:t>
      </w:r>
      <w:r w:rsidR="000D1702" w:rsidRPr="00576CD2">
        <w:t>;</w:t>
      </w:r>
      <w:r w:rsidR="006D2978" w:rsidRPr="00576CD2">
        <w:t xml:space="preserve"> </w:t>
      </w:r>
      <w:r w:rsidR="0078705E" w:rsidRPr="00576CD2">
        <w:t>1</w:t>
      </w:r>
      <w:r w:rsidR="007226F4" w:rsidRPr="00576CD2">
        <w:t xml:space="preserve"> report of migration at 3-year</w:t>
      </w:r>
      <w:r w:rsidR="00F6636F" w:rsidRPr="00576CD2">
        <w:t>;</w:t>
      </w:r>
      <w:r w:rsidR="007226F4" w:rsidRPr="00576CD2">
        <w:t xml:space="preserve"> </w:t>
      </w:r>
      <w:r w:rsidR="00F52166" w:rsidRPr="00576CD2">
        <w:t>3</w:t>
      </w:r>
      <w:r w:rsidR="00B27D81" w:rsidRPr="00576CD2">
        <w:t xml:space="preserve"> new </w:t>
      </w:r>
      <w:r w:rsidR="00A90D4A" w:rsidRPr="00576CD2">
        <w:t xml:space="preserve">Type I </w:t>
      </w:r>
      <w:r w:rsidR="00B27D81" w:rsidRPr="00576CD2">
        <w:t>endoleak</w:t>
      </w:r>
      <w:r w:rsidR="001D736B" w:rsidRPr="00576CD2">
        <w:t>s</w:t>
      </w:r>
      <w:r w:rsidR="00F6636F" w:rsidRPr="00576CD2">
        <w:t>,</w:t>
      </w:r>
      <w:r w:rsidR="00B27D81" w:rsidRPr="00576CD2">
        <w:t xml:space="preserve"> 1 </w:t>
      </w:r>
      <w:r w:rsidR="00765FA3" w:rsidRPr="00576CD2">
        <w:t xml:space="preserve">Type </w:t>
      </w:r>
      <w:r w:rsidR="00F6636F" w:rsidRPr="00576CD2">
        <w:t>I</w:t>
      </w:r>
      <w:r w:rsidR="00B27D81" w:rsidRPr="00576CD2">
        <w:t xml:space="preserve">a and 1 </w:t>
      </w:r>
      <w:r w:rsidR="00765FA3" w:rsidRPr="00576CD2">
        <w:t xml:space="preserve">Type </w:t>
      </w:r>
      <w:r w:rsidR="00B27D81" w:rsidRPr="00576CD2">
        <w:t xml:space="preserve">Ib at 2-year, </w:t>
      </w:r>
      <w:r w:rsidR="00DF1487" w:rsidRPr="00576CD2">
        <w:t xml:space="preserve">and </w:t>
      </w:r>
      <w:r w:rsidR="00A94F81" w:rsidRPr="00576CD2">
        <w:t>1</w:t>
      </w:r>
      <w:r w:rsidR="00DF1487" w:rsidRPr="00576CD2">
        <w:t xml:space="preserve"> </w:t>
      </w:r>
      <w:r w:rsidR="00765FA3" w:rsidRPr="00576CD2">
        <w:t xml:space="preserve">Type </w:t>
      </w:r>
      <w:r w:rsidR="00DF1487" w:rsidRPr="00576CD2">
        <w:t>Ib at 3-year</w:t>
      </w:r>
      <w:r w:rsidR="00F6636F" w:rsidRPr="00576CD2">
        <w:t>;</w:t>
      </w:r>
      <w:r w:rsidR="002D0740" w:rsidRPr="00576CD2">
        <w:t xml:space="preserve"> </w:t>
      </w:r>
      <w:r w:rsidR="00030664" w:rsidRPr="00576CD2">
        <w:t>8</w:t>
      </w:r>
      <w:r w:rsidR="002D0740" w:rsidRPr="00576CD2">
        <w:t xml:space="preserve"> cases </w:t>
      </w:r>
      <w:r w:rsidR="00EB3A62" w:rsidRPr="00576CD2">
        <w:t xml:space="preserve">of </w:t>
      </w:r>
      <w:r w:rsidR="009D2028" w:rsidRPr="00576CD2">
        <w:t xml:space="preserve">new aneurysm </w:t>
      </w:r>
      <w:r w:rsidR="000D1702" w:rsidRPr="00576CD2">
        <w:t xml:space="preserve">enlargement, 4 at 2-year, </w:t>
      </w:r>
      <w:r w:rsidR="007E1663" w:rsidRPr="00576CD2">
        <w:t>3</w:t>
      </w:r>
      <w:r w:rsidR="000D1702" w:rsidRPr="00576CD2">
        <w:t xml:space="preserve"> at 3-year and </w:t>
      </w:r>
      <w:r w:rsidR="007E1663" w:rsidRPr="00576CD2">
        <w:t>1</w:t>
      </w:r>
      <w:r w:rsidR="000D1702" w:rsidRPr="00576CD2">
        <w:t xml:space="preserve"> at 4-year;</w:t>
      </w:r>
      <w:r w:rsidR="00E036D2" w:rsidRPr="00576CD2">
        <w:t xml:space="preserve"> and 2 secondary interventions, 1 at 2-year and 1 at 3-year. No</w:t>
      </w:r>
      <w:r w:rsidR="004A2939" w:rsidRPr="00576CD2">
        <w:t xml:space="preserve"> lesion related mortality, rupture, fracture, surgical conversion or thromboembolic events have been reported.</w:t>
      </w:r>
      <w:r w:rsidR="00AE7E8F" w:rsidRPr="00576CD2">
        <w:t xml:space="preserve"> </w:t>
      </w:r>
      <w:r w:rsidRPr="00576CD2">
        <w:rPr>
          <w:highlight w:val="yellow"/>
        </w:rPr>
        <w:t xml:space="preserve"> </w:t>
      </w:r>
    </w:p>
    <w:p w14:paraId="5B2B8BA9" w14:textId="77777777" w:rsidR="00ED0F60" w:rsidRPr="00576CD2" w:rsidRDefault="00ED0F60" w:rsidP="006C774B">
      <w:pPr>
        <w:pStyle w:val="ListParagraph"/>
        <w:spacing w:after="0" w:line="240" w:lineRule="auto"/>
        <w:ind w:left="700"/>
        <w:jc w:val="both"/>
        <w:rPr>
          <w:highlight w:val="yellow"/>
        </w:rPr>
      </w:pPr>
    </w:p>
    <w:p w14:paraId="2E92B278" w14:textId="6C370542" w:rsidR="00B42D5B" w:rsidRPr="00576CD2" w:rsidRDefault="006C2972" w:rsidP="006C774B">
      <w:pPr>
        <w:pStyle w:val="ListParagraph"/>
        <w:spacing w:after="0" w:line="240" w:lineRule="auto"/>
        <w:ind w:left="700"/>
        <w:jc w:val="both"/>
      </w:pPr>
      <w:r w:rsidRPr="00576CD2">
        <w:t xml:space="preserve">In the </w:t>
      </w:r>
      <w:r w:rsidR="00E849D3" w:rsidRPr="00576CD2">
        <w:t>P</w:t>
      </w:r>
      <w:r w:rsidRPr="00576CD2">
        <w:t>ivotal study</w:t>
      </w:r>
      <w:r w:rsidR="00622458" w:rsidRPr="00576CD2">
        <w:t xml:space="preserve">, </w:t>
      </w:r>
      <w:r w:rsidR="00106CE3" w:rsidRPr="00576CD2">
        <w:t>2</w:t>
      </w:r>
      <w:r w:rsidR="00ED0F60" w:rsidRPr="00576CD2">
        <w:t xml:space="preserve"> subjects</w:t>
      </w:r>
      <w:r w:rsidR="00AC53DB" w:rsidRPr="00576CD2">
        <w:t xml:space="preserve"> reported secondary interventions, </w:t>
      </w:r>
      <w:r w:rsidR="00106CE3" w:rsidRPr="00576CD2">
        <w:t>1</w:t>
      </w:r>
      <w:r w:rsidR="00AC53DB" w:rsidRPr="00576CD2">
        <w:t xml:space="preserve"> at the 2-year visit and </w:t>
      </w:r>
      <w:r w:rsidR="00106CE3" w:rsidRPr="00576CD2">
        <w:t>1</w:t>
      </w:r>
      <w:r w:rsidR="00AC53DB" w:rsidRPr="00576CD2">
        <w:t xml:space="preserve"> at the 3-year visit</w:t>
      </w:r>
      <w:r w:rsidRPr="00576CD2">
        <w:t xml:space="preserve"> since the last reporting period</w:t>
      </w:r>
      <w:r w:rsidR="00D519CD" w:rsidRPr="00576CD2">
        <w:t xml:space="preserve"> (</w:t>
      </w:r>
      <w:r w:rsidR="0059079B" w:rsidRPr="00576CD2">
        <w:t xml:space="preserve">See </w:t>
      </w:r>
      <w:r w:rsidR="009017BC" w:rsidRPr="00576CD2">
        <w:t>SSED</w:t>
      </w:r>
      <w:r w:rsidR="0059079B" w:rsidRPr="00576CD2">
        <w:t xml:space="preserve"> </w:t>
      </w:r>
      <w:r w:rsidR="00D519CD" w:rsidRPr="00576CD2">
        <w:t>Data Snapshot/Lock Date of 7 Dec 2020)</w:t>
      </w:r>
      <w:r w:rsidR="00AC53DB" w:rsidRPr="00576CD2">
        <w:t xml:space="preserve">.  </w:t>
      </w:r>
      <w:r w:rsidR="21E7D32A" w:rsidRPr="00576CD2">
        <w:t xml:space="preserve">Reasons for </w:t>
      </w:r>
      <w:r w:rsidR="00AC53DB" w:rsidRPr="00576CD2">
        <w:t>the</w:t>
      </w:r>
      <w:r w:rsidR="21E7D32A" w:rsidRPr="00576CD2">
        <w:t xml:space="preserve"> secondary interventions </w:t>
      </w:r>
      <w:r w:rsidR="00763967" w:rsidRPr="00576CD2">
        <w:t>we</w:t>
      </w:r>
      <w:r w:rsidR="00072EF2" w:rsidRPr="00576CD2">
        <w:t>r</w:t>
      </w:r>
      <w:r w:rsidR="00763967" w:rsidRPr="00576CD2">
        <w:t xml:space="preserve">e reported as Type Ib Endoleak </w:t>
      </w:r>
      <w:r w:rsidR="00106CE3" w:rsidRPr="00576CD2">
        <w:t>(subject</w:t>
      </w:r>
      <w:r w:rsidR="00072EF2" w:rsidRPr="00576CD2">
        <w:t>s</w:t>
      </w:r>
      <w:r w:rsidR="00106CE3" w:rsidRPr="00576CD2">
        <w:t xml:space="preserve"> </w:t>
      </w:r>
      <w:r w:rsidR="009C1EFE" w:rsidRPr="00576CD2">
        <w:t>A88-008</w:t>
      </w:r>
      <w:r w:rsidR="00541389" w:rsidRPr="00576CD2">
        <w:t xml:space="preserve"> </w:t>
      </w:r>
      <w:r w:rsidR="00C6111B" w:rsidRPr="00576CD2">
        <w:t>and</w:t>
      </w:r>
      <w:r w:rsidR="009C1EFE" w:rsidRPr="00576CD2">
        <w:t xml:space="preserve"> A88-005</w:t>
      </w:r>
      <w:r w:rsidR="00106CE3" w:rsidRPr="00576CD2">
        <w:t>)</w:t>
      </w:r>
      <w:r w:rsidR="00763967" w:rsidRPr="00576CD2">
        <w:t>.</w:t>
      </w:r>
    </w:p>
    <w:p w14:paraId="5E112ED9" w14:textId="77777777" w:rsidR="00B42D5B" w:rsidRPr="00576CD2" w:rsidRDefault="00B42D5B" w:rsidP="006C774B">
      <w:pPr>
        <w:spacing w:after="0" w:line="240" w:lineRule="auto"/>
        <w:ind w:left="700"/>
        <w:jc w:val="both"/>
      </w:pPr>
    </w:p>
    <w:p w14:paraId="5E3BC0AA" w14:textId="2468F9EC" w:rsidR="00E01DDE" w:rsidRPr="00576CD2" w:rsidRDefault="00E01DDE" w:rsidP="006C774B">
      <w:pPr>
        <w:pStyle w:val="ListParagraph"/>
        <w:spacing w:after="0" w:line="240" w:lineRule="auto"/>
        <w:ind w:left="700"/>
        <w:jc w:val="both"/>
      </w:pPr>
      <w:r w:rsidRPr="00576CD2">
        <w:t xml:space="preserve">Data from the RelayPro-A IDE study Continued Access subjects in </w:t>
      </w:r>
      <w:r w:rsidR="001A1179" w:rsidRPr="00576CD2">
        <w:fldChar w:fldCharType="begin"/>
      </w:r>
      <w:r w:rsidR="001A1179" w:rsidRPr="00576CD2">
        <w:instrText xml:space="preserve"> REF _Ref112945381 \h  \* MERGEFORMAT </w:instrText>
      </w:r>
      <w:r w:rsidR="001A1179" w:rsidRPr="00576CD2">
        <w:fldChar w:fldCharType="separate"/>
      </w:r>
      <w:r w:rsidR="007A0BFD" w:rsidRPr="007A0BFD">
        <w:rPr>
          <w:b/>
          <w:bCs/>
        </w:rPr>
        <w:t xml:space="preserve">Table </w:t>
      </w:r>
      <w:r w:rsidR="007A0BFD" w:rsidRPr="007A0BFD">
        <w:rPr>
          <w:b/>
          <w:bCs/>
          <w:noProof/>
        </w:rPr>
        <w:t>2</w:t>
      </w:r>
      <w:r w:rsidR="001A1179" w:rsidRPr="00576CD2">
        <w:fldChar w:fldCharType="end"/>
      </w:r>
      <w:r w:rsidR="001A1179" w:rsidRPr="00576CD2">
        <w:t xml:space="preserve"> </w:t>
      </w:r>
      <w:r w:rsidRPr="00576CD2">
        <w:t>shows that there have been</w:t>
      </w:r>
      <w:r w:rsidR="00FD4E98" w:rsidRPr="00576CD2">
        <w:t xml:space="preserve"> 3</w:t>
      </w:r>
      <w:r w:rsidRPr="00576CD2" w:rsidDel="00FD4E98">
        <w:t xml:space="preserve"> </w:t>
      </w:r>
      <w:r w:rsidR="00DE307E" w:rsidRPr="00576CD2">
        <w:t>cases of all-cause mortality, one considered lesion related.  No other</w:t>
      </w:r>
      <w:r w:rsidRPr="00576CD2">
        <w:t xml:space="preserve"> MAEs or failures in device integrity </w:t>
      </w:r>
      <w:r w:rsidR="00EA3470" w:rsidRPr="00576CD2">
        <w:t xml:space="preserve">for </w:t>
      </w:r>
      <w:r w:rsidRPr="00576CD2">
        <w:t>this reporting period.</w:t>
      </w:r>
    </w:p>
    <w:p w14:paraId="49050BA8" w14:textId="77777777" w:rsidR="00A75C6C" w:rsidRPr="00576CD2" w:rsidRDefault="00A75C6C" w:rsidP="006C774B">
      <w:pPr>
        <w:spacing w:after="0" w:line="240" w:lineRule="auto"/>
        <w:ind w:left="700"/>
        <w:rPr>
          <w:rStyle w:val="eop"/>
          <w:rFonts w:cstheme="minorHAnsi"/>
          <w:bCs/>
          <w:shd w:val="clear" w:color="auto" w:fill="FFFFFF"/>
        </w:rPr>
      </w:pPr>
    </w:p>
    <w:p w14:paraId="2A19D0C0" w14:textId="26E6BFB6" w:rsidR="00267CDD" w:rsidRPr="00576CD2" w:rsidRDefault="00267CDD" w:rsidP="003059C0">
      <w:pPr>
        <w:pStyle w:val="Caption"/>
        <w:keepNext/>
        <w:rPr>
          <w:b/>
          <w:bCs/>
          <w:i w:val="0"/>
          <w:iCs w:val="0"/>
          <w:color w:val="auto"/>
        </w:rPr>
      </w:pPr>
    </w:p>
    <w:tbl>
      <w:tblPr>
        <w:tblW w:w="5002" w:type="pct"/>
        <w:tblInd w:w="-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16"/>
        <w:gridCol w:w="1148"/>
        <w:gridCol w:w="819"/>
        <w:gridCol w:w="781"/>
        <w:gridCol w:w="1208"/>
        <w:gridCol w:w="1163"/>
        <w:gridCol w:w="1082"/>
        <w:gridCol w:w="810"/>
        <w:gridCol w:w="621"/>
      </w:tblGrid>
      <w:tr w:rsidR="00576CD2" w:rsidRPr="00576CD2" w14:paraId="7C97A084" w14:textId="23753969" w:rsidTr="00AC4ED8">
        <w:trPr>
          <w:tblHeader/>
        </w:trPr>
        <w:tc>
          <w:tcPr>
            <w:tcW w:w="5000" w:type="pct"/>
            <w:gridSpan w:val="9"/>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center"/>
          </w:tcPr>
          <w:p w14:paraId="632843F0" w14:textId="4B5F8B07" w:rsidR="00961E1A" w:rsidRPr="00576CD2" w:rsidRDefault="00961E1A" w:rsidP="007156C5">
            <w:pPr>
              <w:spacing w:after="0" w:line="240" w:lineRule="auto"/>
              <w:textAlignment w:val="baseline"/>
              <w:rPr>
                <w:b/>
                <w:bCs/>
                <w:sz w:val="20"/>
                <w:szCs w:val="20"/>
              </w:rPr>
            </w:pPr>
            <w:bookmarkStart w:id="0" w:name="_Ref112945361"/>
            <w:r w:rsidRPr="00576CD2">
              <w:rPr>
                <w:b/>
                <w:bCs/>
                <w:sz w:val="20"/>
                <w:szCs w:val="20"/>
              </w:rPr>
              <w:t xml:space="preserve">Table </w:t>
            </w:r>
            <w:r w:rsidRPr="00576CD2">
              <w:rPr>
                <w:b/>
                <w:bCs/>
                <w:sz w:val="20"/>
                <w:szCs w:val="20"/>
              </w:rPr>
              <w:fldChar w:fldCharType="begin"/>
            </w:r>
            <w:r w:rsidRPr="00576CD2">
              <w:rPr>
                <w:b/>
                <w:bCs/>
                <w:sz w:val="20"/>
                <w:szCs w:val="20"/>
              </w:rPr>
              <w:instrText xml:space="preserve"> SEQ Table \* ARABIC </w:instrText>
            </w:r>
            <w:r w:rsidRPr="00576CD2">
              <w:rPr>
                <w:b/>
                <w:bCs/>
                <w:sz w:val="20"/>
                <w:szCs w:val="20"/>
              </w:rPr>
              <w:fldChar w:fldCharType="separate"/>
            </w:r>
            <w:r w:rsidR="007A0BFD">
              <w:rPr>
                <w:b/>
                <w:bCs/>
                <w:noProof/>
                <w:sz w:val="20"/>
                <w:szCs w:val="20"/>
              </w:rPr>
              <w:t>1</w:t>
            </w:r>
            <w:r w:rsidRPr="00576CD2">
              <w:rPr>
                <w:b/>
                <w:bCs/>
                <w:sz w:val="20"/>
                <w:szCs w:val="20"/>
              </w:rPr>
              <w:fldChar w:fldCharType="end"/>
            </w:r>
            <w:bookmarkEnd w:id="0"/>
            <w:r w:rsidRPr="00576CD2">
              <w:rPr>
                <w:rFonts w:cstheme="minorHAnsi"/>
                <w:b/>
                <w:bCs/>
                <w:sz w:val="20"/>
                <w:szCs w:val="20"/>
              </w:rPr>
              <w:t>: IDE Study Data (Pivotal)</w:t>
            </w:r>
          </w:p>
        </w:tc>
      </w:tr>
      <w:tr w:rsidR="00576CD2" w:rsidRPr="00576CD2" w14:paraId="6C3DB659" w14:textId="283A1F77" w:rsidTr="00AC4ED8">
        <w:trPr>
          <w:tblHeader/>
        </w:trPr>
        <w:tc>
          <w:tcPr>
            <w:tcW w:w="918"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center"/>
            <w:hideMark/>
          </w:tcPr>
          <w:p w14:paraId="6C3988F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Secondary Effectiveness Endpoints</w:t>
            </w:r>
            <w:r w:rsidRPr="00576CD2">
              <w:rPr>
                <w:rFonts w:eastAsia="Times New Roman" w:cstheme="minorHAnsi"/>
                <w:sz w:val="20"/>
                <w:szCs w:val="20"/>
              </w:rPr>
              <w:t> </w:t>
            </w:r>
          </w:p>
        </w:tc>
        <w:tc>
          <w:tcPr>
            <w:tcW w:w="614"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bottom"/>
            <w:hideMark/>
          </w:tcPr>
          <w:p w14:paraId="76481C9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30 Days</w:t>
            </w:r>
            <w:r w:rsidRPr="00576CD2">
              <w:rPr>
                <w:rFonts w:eastAsia="Times New Roman" w:cstheme="minorHAnsi"/>
                <w:sz w:val="20"/>
                <w:szCs w:val="20"/>
              </w:rPr>
              <w:t> </w:t>
            </w:r>
            <w:r w:rsidRPr="00576CD2">
              <w:rPr>
                <w:rFonts w:eastAsia="Times New Roman" w:cstheme="minorHAnsi"/>
                <w:sz w:val="20"/>
                <w:szCs w:val="20"/>
              </w:rPr>
              <w:br/>
            </w:r>
            <w:r w:rsidRPr="00576CD2">
              <w:rPr>
                <w:rFonts w:eastAsia="Times New Roman" w:cstheme="minorHAnsi"/>
                <w:b/>
                <w:sz w:val="20"/>
                <w:szCs w:val="20"/>
              </w:rPr>
              <w:t>(Day 0-90)</w:t>
            </w:r>
            <w:r w:rsidRPr="00576CD2">
              <w:rPr>
                <w:rFonts w:eastAsia="Times New Roman" w:cstheme="minorHAnsi"/>
                <w:sz w:val="20"/>
                <w:szCs w:val="20"/>
              </w:rPr>
              <w:t> </w:t>
            </w:r>
          </w:p>
        </w:tc>
        <w:tc>
          <w:tcPr>
            <w:tcW w:w="438"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bottom"/>
            <w:hideMark/>
          </w:tcPr>
          <w:p w14:paraId="477D6A74"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6 Months</w:t>
            </w:r>
            <w:r w:rsidRPr="00576CD2">
              <w:rPr>
                <w:rFonts w:eastAsia="Times New Roman" w:cstheme="minorHAnsi"/>
                <w:sz w:val="20"/>
                <w:szCs w:val="20"/>
              </w:rPr>
              <w:t> </w:t>
            </w:r>
            <w:r w:rsidRPr="00576CD2">
              <w:rPr>
                <w:rFonts w:eastAsia="Times New Roman" w:cstheme="minorHAnsi"/>
                <w:sz w:val="20"/>
                <w:szCs w:val="20"/>
              </w:rPr>
              <w:br/>
            </w:r>
            <w:r w:rsidRPr="00576CD2">
              <w:rPr>
                <w:rFonts w:eastAsia="Times New Roman" w:cstheme="minorHAnsi"/>
                <w:b/>
                <w:sz w:val="20"/>
                <w:szCs w:val="20"/>
              </w:rPr>
              <w:t>(Day 91-270)</w:t>
            </w:r>
            <w:r w:rsidRPr="00576CD2">
              <w:rPr>
                <w:rFonts w:eastAsia="Times New Roman" w:cstheme="minorHAnsi"/>
                <w:sz w:val="20"/>
                <w:szCs w:val="20"/>
              </w:rPr>
              <w:t> </w:t>
            </w:r>
          </w:p>
        </w:tc>
        <w:tc>
          <w:tcPr>
            <w:tcW w:w="418"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bottom"/>
            <w:hideMark/>
          </w:tcPr>
          <w:p w14:paraId="3169B464"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1 Year</w:t>
            </w:r>
            <w:r w:rsidRPr="00576CD2">
              <w:rPr>
                <w:rFonts w:eastAsia="Times New Roman" w:cstheme="minorHAnsi"/>
                <w:sz w:val="20"/>
                <w:szCs w:val="20"/>
              </w:rPr>
              <w:t> </w:t>
            </w:r>
            <w:r w:rsidRPr="00576CD2">
              <w:rPr>
                <w:rFonts w:eastAsia="Times New Roman" w:cstheme="minorHAnsi"/>
                <w:sz w:val="20"/>
                <w:szCs w:val="20"/>
              </w:rPr>
              <w:br/>
            </w:r>
            <w:r w:rsidRPr="00576CD2">
              <w:rPr>
                <w:rFonts w:eastAsia="Times New Roman" w:cstheme="minorHAnsi"/>
                <w:b/>
                <w:sz w:val="20"/>
                <w:szCs w:val="20"/>
              </w:rPr>
              <w:t>(Day 271-540)</w:t>
            </w:r>
            <w:r w:rsidRPr="00576CD2">
              <w:rPr>
                <w:rFonts w:eastAsia="Times New Roman" w:cstheme="minorHAnsi"/>
                <w:sz w:val="20"/>
                <w:szCs w:val="20"/>
              </w:rPr>
              <w:t> </w:t>
            </w:r>
          </w:p>
        </w:tc>
        <w:tc>
          <w:tcPr>
            <w:tcW w:w="646"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bottom"/>
            <w:hideMark/>
          </w:tcPr>
          <w:p w14:paraId="3F3A2869"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2 Years</w:t>
            </w:r>
            <w:r w:rsidRPr="00576CD2">
              <w:rPr>
                <w:rFonts w:eastAsia="Times New Roman" w:cstheme="minorHAnsi"/>
                <w:sz w:val="20"/>
                <w:szCs w:val="20"/>
              </w:rPr>
              <w:t> </w:t>
            </w:r>
            <w:r w:rsidRPr="00576CD2">
              <w:rPr>
                <w:rFonts w:eastAsia="Times New Roman" w:cstheme="minorHAnsi"/>
                <w:sz w:val="20"/>
                <w:szCs w:val="20"/>
              </w:rPr>
              <w:br/>
            </w:r>
            <w:r w:rsidRPr="00576CD2">
              <w:rPr>
                <w:rFonts w:eastAsia="Times New Roman" w:cstheme="minorHAnsi"/>
                <w:b/>
                <w:sz w:val="20"/>
                <w:szCs w:val="20"/>
              </w:rPr>
              <w:t>(Day 541-900)</w:t>
            </w:r>
            <w:r w:rsidRPr="00576CD2">
              <w:rPr>
                <w:rFonts w:eastAsia="Times New Roman" w:cstheme="minorHAnsi"/>
                <w:sz w:val="20"/>
                <w:szCs w:val="20"/>
              </w:rPr>
              <w:t> </w:t>
            </w:r>
          </w:p>
        </w:tc>
        <w:tc>
          <w:tcPr>
            <w:tcW w:w="622"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bottom"/>
            <w:hideMark/>
          </w:tcPr>
          <w:p w14:paraId="352D13F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3 Years</w:t>
            </w:r>
            <w:r w:rsidRPr="00576CD2">
              <w:rPr>
                <w:rFonts w:eastAsia="Times New Roman" w:cstheme="minorHAnsi"/>
                <w:sz w:val="20"/>
                <w:szCs w:val="20"/>
              </w:rPr>
              <w:t> </w:t>
            </w:r>
            <w:r w:rsidRPr="00576CD2">
              <w:rPr>
                <w:rFonts w:eastAsia="Times New Roman" w:cstheme="minorHAnsi"/>
                <w:sz w:val="20"/>
                <w:szCs w:val="20"/>
              </w:rPr>
              <w:br/>
            </w:r>
            <w:r w:rsidRPr="00576CD2">
              <w:rPr>
                <w:rFonts w:eastAsia="Times New Roman" w:cstheme="minorHAnsi"/>
                <w:b/>
                <w:sz w:val="20"/>
                <w:szCs w:val="20"/>
              </w:rPr>
              <w:t>(Day 901-1260)</w:t>
            </w:r>
            <w:r w:rsidRPr="00576CD2">
              <w:rPr>
                <w:rFonts w:eastAsia="Times New Roman" w:cstheme="minorHAnsi"/>
                <w:sz w:val="20"/>
                <w:szCs w:val="20"/>
              </w:rPr>
              <w:t> </w:t>
            </w:r>
          </w:p>
        </w:tc>
        <w:tc>
          <w:tcPr>
            <w:tcW w:w="579"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bottom"/>
            <w:hideMark/>
          </w:tcPr>
          <w:p w14:paraId="1D62EF8D"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4 Years</w:t>
            </w:r>
            <w:r w:rsidRPr="00576CD2">
              <w:rPr>
                <w:rFonts w:eastAsia="Times New Roman" w:cstheme="minorHAnsi"/>
                <w:sz w:val="20"/>
                <w:szCs w:val="20"/>
              </w:rPr>
              <w:t> </w:t>
            </w:r>
            <w:r w:rsidRPr="00576CD2">
              <w:rPr>
                <w:rFonts w:eastAsia="Times New Roman" w:cstheme="minorHAnsi"/>
                <w:sz w:val="20"/>
                <w:szCs w:val="20"/>
              </w:rPr>
              <w:br/>
            </w:r>
            <w:r w:rsidRPr="00576CD2">
              <w:rPr>
                <w:rFonts w:eastAsia="Times New Roman" w:cstheme="minorHAnsi"/>
                <w:b/>
                <w:sz w:val="20"/>
                <w:szCs w:val="20"/>
              </w:rPr>
              <w:t>(Day 1261-1620)</w:t>
            </w:r>
            <w:r w:rsidRPr="00576CD2">
              <w:rPr>
                <w:rFonts w:eastAsia="Times New Roman" w:cstheme="minorHAnsi"/>
                <w:sz w:val="20"/>
                <w:szCs w:val="20"/>
              </w:rPr>
              <w:t> </w:t>
            </w:r>
          </w:p>
        </w:tc>
        <w:tc>
          <w:tcPr>
            <w:tcW w:w="433"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bottom"/>
            <w:hideMark/>
          </w:tcPr>
          <w:p w14:paraId="778CB66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b/>
                <w:sz w:val="20"/>
                <w:szCs w:val="20"/>
              </w:rPr>
              <w:t>5 Years</w:t>
            </w:r>
            <w:r w:rsidRPr="00576CD2">
              <w:rPr>
                <w:rFonts w:eastAsia="Times New Roman" w:cstheme="minorHAnsi"/>
                <w:sz w:val="20"/>
                <w:szCs w:val="20"/>
              </w:rPr>
              <w:t> </w:t>
            </w:r>
            <w:r w:rsidRPr="00576CD2">
              <w:rPr>
                <w:rFonts w:eastAsia="Times New Roman" w:cstheme="minorHAnsi"/>
                <w:sz w:val="20"/>
                <w:szCs w:val="20"/>
              </w:rPr>
              <w:br/>
            </w:r>
            <w:r w:rsidRPr="00576CD2">
              <w:rPr>
                <w:rFonts w:eastAsia="Times New Roman" w:cstheme="minorHAnsi"/>
                <w:b/>
                <w:sz w:val="20"/>
                <w:szCs w:val="20"/>
              </w:rPr>
              <w:t>(Day 1621-1980)</w:t>
            </w:r>
            <w:r w:rsidRPr="00576CD2">
              <w:rPr>
                <w:rFonts w:eastAsia="Times New Roman" w:cstheme="minorHAnsi"/>
                <w:sz w:val="20"/>
                <w:szCs w:val="20"/>
              </w:rPr>
              <w:t> </w:t>
            </w:r>
          </w:p>
        </w:tc>
        <w:tc>
          <w:tcPr>
            <w:tcW w:w="332" w:type="pct"/>
            <w:tcBorders>
              <w:top w:val="single" w:sz="6" w:space="0" w:color="4F493B"/>
              <w:left w:val="single" w:sz="6" w:space="0" w:color="4F493B"/>
              <w:bottom w:val="single" w:sz="6" w:space="0" w:color="4F493B"/>
              <w:right w:val="single" w:sz="6" w:space="0" w:color="4F493B"/>
            </w:tcBorders>
            <w:shd w:val="clear" w:color="auto" w:fill="D9D9D9" w:themeFill="background1" w:themeFillShade="D9"/>
            <w:vAlign w:val="center"/>
          </w:tcPr>
          <w:p w14:paraId="58D5D5BF" w14:textId="4A7A2202" w:rsidR="00D514BC" w:rsidRPr="00576CD2" w:rsidRDefault="00961E1A" w:rsidP="00DC1164">
            <w:pPr>
              <w:spacing w:after="0" w:line="240" w:lineRule="auto"/>
              <w:jc w:val="center"/>
              <w:textAlignment w:val="baseline"/>
              <w:rPr>
                <w:rFonts w:eastAsia="Times New Roman" w:cstheme="minorHAnsi"/>
                <w:b/>
                <w:sz w:val="20"/>
                <w:szCs w:val="20"/>
              </w:rPr>
            </w:pPr>
            <w:r w:rsidRPr="00576CD2">
              <w:rPr>
                <w:rFonts w:eastAsia="Times New Roman" w:cstheme="minorHAnsi"/>
                <w:b/>
                <w:sz w:val="20"/>
                <w:szCs w:val="20"/>
              </w:rPr>
              <w:t>Total</w:t>
            </w:r>
          </w:p>
        </w:tc>
      </w:tr>
      <w:tr w:rsidR="00576CD2" w:rsidRPr="00576CD2" w14:paraId="61A7E6A1" w14:textId="35A0994F"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tcPr>
          <w:p w14:paraId="0B92CA79" w14:textId="443DE4D7" w:rsidR="00D514BC" w:rsidRPr="00576CD2" w:rsidRDefault="00D514BC" w:rsidP="00C60042">
            <w:pPr>
              <w:spacing w:after="0" w:line="240" w:lineRule="auto"/>
              <w:textAlignment w:val="baseline"/>
              <w:rPr>
                <w:rFonts w:eastAsia="Times New Roman" w:cstheme="minorHAnsi"/>
                <w:sz w:val="20"/>
                <w:szCs w:val="20"/>
              </w:rPr>
            </w:pPr>
            <w:r w:rsidRPr="00576CD2">
              <w:rPr>
                <w:rFonts w:eastAsia="Times New Roman" w:cstheme="minorHAnsi"/>
                <w:sz w:val="20"/>
                <w:szCs w:val="20"/>
              </w:rPr>
              <w:t>Eligible for Follow-up</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tcPr>
          <w:p w14:paraId="196E29E0" w14:textId="3FFCD1A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110</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tcPr>
          <w:p w14:paraId="32492668" w14:textId="264DC44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108</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tcPr>
          <w:p w14:paraId="3B5327D1" w14:textId="6172AF1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105</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tcPr>
          <w:p w14:paraId="002B5412" w14:textId="0DB6866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93</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tcPr>
          <w:p w14:paraId="1944F389" w14:textId="1E24303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82</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tcPr>
          <w:p w14:paraId="053F7CB5" w14:textId="4CFE1A0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57</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tcPr>
          <w:p w14:paraId="6F9FD47E" w14:textId="4B3A03F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7</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6D262BE9" w14:textId="5CC22445" w:rsidR="00D514BC" w:rsidRPr="00576CD2" w:rsidRDefault="00167796"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110</w:t>
            </w:r>
          </w:p>
        </w:tc>
      </w:tr>
      <w:tr w:rsidR="00576CD2" w:rsidRPr="00576CD2" w14:paraId="12EBFC53" w14:textId="3F0B4206"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tcPr>
          <w:p w14:paraId="6D0AE964" w14:textId="2FD9F7A3" w:rsidR="00D514BC" w:rsidRPr="00576CD2" w:rsidRDefault="00D514BC" w:rsidP="00967AEA">
            <w:pPr>
              <w:spacing w:after="0" w:line="240" w:lineRule="auto"/>
              <w:ind w:left="345"/>
              <w:textAlignment w:val="baseline"/>
              <w:rPr>
                <w:rFonts w:eastAsia="Times New Roman" w:cstheme="minorHAnsi"/>
                <w:sz w:val="20"/>
                <w:szCs w:val="20"/>
              </w:rPr>
            </w:pPr>
            <w:r w:rsidRPr="00576CD2">
              <w:rPr>
                <w:rFonts w:eastAsia="Times New Roman" w:cstheme="minorHAnsi"/>
                <w:sz w:val="20"/>
                <w:szCs w:val="20"/>
              </w:rPr>
              <w:t>Subjects with visit data</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tcPr>
          <w:p w14:paraId="56A88488" w14:textId="491FFBC5"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109</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tcPr>
          <w:p w14:paraId="19F14221" w14:textId="6B0A9F1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96</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tcPr>
          <w:p w14:paraId="5782B4F8" w14:textId="1187009E"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93</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tcPr>
          <w:p w14:paraId="4C6564C9" w14:textId="4D5055C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81</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tcPr>
          <w:p w14:paraId="68D852ED" w14:textId="1DF8D0D3"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59</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tcPr>
          <w:p w14:paraId="4DF23B1E" w14:textId="6D6FF455"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8</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tcPr>
          <w:p w14:paraId="60D2D2C0" w14:textId="13C5405E"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2DF0C20A" w14:textId="6F2D77E7" w:rsidR="00D514BC" w:rsidRPr="00576CD2" w:rsidRDefault="008A261D"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109</w:t>
            </w:r>
          </w:p>
        </w:tc>
      </w:tr>
      <w:tr w:rsidR="00576CD2" w:rsidRPr="00576CD2" w14:paraId="3B7B11FA" w14:textId="3C394B65"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tcPr>
          <w:p w14:paraId="1D1C9E7E" w14:textId="03D77116" w:rsidR="00D514BC" w:rsidRPr="00576CD2" w:rsidRDefault="00D514BC" w:rsidP="00A8350E">
            <w:pPr>
              <w:spacing w:after="0" w:line="240" w:lineRule="auto"/>
              <w:ind w:left="345"/>
              <w:textAlignment w:val="baseline"/>
              <w:rPr>
                <w:rFonts w:eastAsia="Times New Roman" w:cstheme="minorHAnsi"/>
                <w:sz w:val="20"/>
                <w:szCs w:val="20"/>
              </w:rPr>
            </w:pPr>
            <w:r w:rsidRPr="00576CD2">
              <w:rPr>
                <w:rFonts w:eastAsia="Times New Roman" w:cstheme="minorHAnsi"/>
                <w:sz w:val="20"/>
                <w:szCs w:val="20"/>
              </w:rPr>
              <w:t>Subjects with Imaging data</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tcPr>
          <w:p w14:paraId="6DF8FAA6" w14:textId="7AFD5E3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107</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tcPr>
          <w:p w14:paraId="03B498F6" w14:textId="6514F94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92</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tcPr>
          <w:p w14:paraId="425CC326" w14:textId="2A38526C"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93</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tcPr>
          <w:p w14:paraId="7BB761F7" w14:textId="608F1DB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72</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tcPr>
          <w:p w14:paraId="453646C7" w14:textId="70AC6F7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49</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tcPr>
          <w:p w14:paraId="4E46187C" w14:textId="4080D31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5</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tcPr>
          <w:p w14:paraId="72261EDE" w14:textId="5944CC3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7D0E3442" w14:textId="3E1C43E5" w:rsidR="00D514BC" w:rsidRPr="00576CD2" w:rsidRDefault="008A261D"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107</w:t>
            </w:r>
          </w:p>
        </w:tc>
      </w:tr>
      <w:tr w:rsidR="00576CD2" w:rsidRPr="00576CD2" w14:paraId="17223350" w14:textId="17272176" w:rsidTr="00AC4ED8">
        <w:tc>
          <w:tcPr>
            <w:tcW w:w="918"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0FECA80A" w14:textId="4C33C29E" w:rsidR="00D514BC" w:rsidRPr="00576CD2" w:rsidRDefault="00D514BC" w:rsidP="00A839CA">
            <w:pPr>
              <w:spacing w:after="0" w:line="240" w:lineRule="auto"/>
              <w:textAlignment w:val="baseline"/>
              <w:rPr>
                <w:rFonts w:eastAsia="Times New Roman" w:cstheme="minorHAnsi"/>
                <w:b/>
                <w:bCs/>
                <w:sz w:val="20"/>
                <w:szCs w:val="20"/>
              </w:rPr>
            </w:pPr>
            <w:r w:rsidRPr="00576CD2">
              <w:rPr>
                <w:rFonts w:eastAsia="Times New Roman" w:cstheme="minorHAnsi"/>
                <w:b/>
                <w:bCs/>
                <w:sz w:val="20"/>
                <w:szCs w:val="20"/>
              </w:rPr>
              <w:t>Events</w:t>
            </w:r>
          </w:p>
        </w:tc>
        <w:tc>
          <w:tcPr>
            <w:tcW w:w="614"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04F73A5D" w14:textId="77777777" w:rsidR="00D514BC" w:rsidRPr="00576CD2" w:rsidRDefault="00D514BC">
            <w:pPr>
              <w:spacing w:after="0" w:line="240" w:lineRule="auto"/>
              <w:jc w:val="center"/>
              <w:textAlignment w:val="baseline"/>
              <w:rPr>
                <w:rFonts w:eastAsia="Times New Roman" w:cstheme="minorHAnsi"/>
                <w:b/>
                <w:bCs/>
                <w:sz w:val="20"/>
                <w:szCs w:val="20"/>
              </w:rPr>
            </w:pPr>
          </w:p>
        </w:tc>
        <w:tc>
          <w:tcPr>
            <w:tcW w:w="438"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1B86B424" w14:textId="77777777" w:rsidR="00D514BC" w:rsidRPr="00576CD2" w:rsidRDefault="00D514BC">
            <w:pPr>
              <w:spacing w:after="0" w:line="240" w:lineRule="auto"/>
              <w:jc w:val="center"/>
              <w:textAlignment w:val="baseline"/>
              <w:rPr>
                <w:rFonts w:eastAsia="Times New Roman" w:cstheme="minorHAnsi"/>
                <w:b/>
                <w:bCs/>
                <w:sz w:val="20"/>
                <w:szCs w:val="20"/>
              </w:rPr>
            </w:pPr>
          </w:p>
        </w:tc>
        <w:tc>
          <w:tcPr>
            <w:tcW w:w="418"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19B97EF4" w14:textId="77777777" w:rsidR="00D514BC" w:rsidRPr="00576CD2" w:rsidRDefault="00D514BC">
            <w:pPr>
              <w:spacing w:after="0" w:line="240" w:lineRule="auto"/>
              <w:jc w:val="center"/>
              <w:textAlignment w:val="baseline"/>
              <w:rPr>
                <w:rFonts w:eastAsia="Times New Roman" w:cstheme="minorHAnsi"/>
                <w:b/>
                <w:bCs/>
                <w:sz w:val="20"/>
                <w:szCs w:val="20"/>
              </w:rPr>
            </w:pPr>
          </w:p>
        </w:tc>
        <w:tc>
          <w:tcPr>
            <w:tcW w:w="646"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7C48211E" w14:textId="77777777" w:rsidR="00D514BC" w:rsidRPr="00576CD2" w:rsidRDefault="00D514BC">
            <w:pPr>
              <w:spacing w:after="0" w:line="240" w:lineRule="auto"/>
              <w:jc w:val="center"/>
              <w:textAlignment w:val="baseline"/>
              <w:rPr>
                <w:rFonts w:eastAsia="Times New Roman" w:cstheme="minorHAnsi"/>
                <w:b/>
                <w:bCs/>
                <w:sz w:val="20"/>
                <w:szCs w:val="20"/>
              </w:rPr>
            </w:pPr>
          </w:p>
        </w:tc>
        <w:tc>
          <w:tcPr>
            <w:tcW w:w="622"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762B6ADD" w14:textId="77777777" w:rsidR="00D514BC" w:rsidRPr="00576CD2" w:rsidRDefault="00D514BC">
            <w:pPr>
              <w:spacing w:after="0" w:line="240" w:lineRule="auto"/>
              <w:jc w:val="center"/>
              <w:textAlignment w:val="baseline"/>
              <w:rPr>
                <w:rFonts w:eastAsia="Times New Roman" w:cstheme="minorHAnsi"/>
                <w:b/>
                <w:bCs/>
                <w:sz w:val="20"/>
                <w:szCs w:val="20"/>
              </w:rPr>
            </w:pPr>
          </w:p>
        </w:tc>
        <w:tc>
          <w:tcPr>
            <w:tcW w:w="579"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7AAFA0EF" w14:textId="77777777" w:rsidR="00D514BC" w:rsidRPr="00576CD2" w:rsidRDefault="00D514BC">
            <w:pPr>
              <w:spacing w:after="0" w:line="240" w:lineRule="auto"/>
              <w:jc w:val="center"/>
              <w:textAlignment w:val="baseline"/>
              <w:rPr>
                <w:rFonts w:eastAsia="Times New Roman" w:cstheme="minorHAnsi"/>
                <w:b/>
                <w:bCs/>
                <w:sz w:val="20"/>
                <w:szCs w:val="20"/>
              </w:rPr>
            </w:pPr>
          </w:p>
        </w:tc>
        <w:tc>
          <w:tcPr>
            <w:tcW w:w="433"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3EBDEC62" w14:textId="77777777" w:rsidR="00D514BC" w:rsidRPr="00576CD2" w:rsidRDefault="00D514BC">
            <w:pPr>
              <w:spacing w:after="0" w:line="240" w:lineRule="auto"/>
              <w:jc w:val="center"/>
              <w:textAlignment w:val="baseline"/>
              <w:rPr>
                <w:rFonts w:eastAsia="Times New Roman" w:cstheme="minorHAnsi"/>
                <w:b/>
                <w:bCs/>
                <w:sz w:val="20"/>
                <w:szCs w:val="20"/>
              </w:rPr>
            </w:pPr>
          </w:p>
        </w:tc>
        <w:tc>
          <w:tcPr>
            <w:tcW w:w="332" w:type="pct"/>
            <w:tcBorders>
              <w:top w:val="nil"/>
              <w:left w:val="single" w:sz="6" w:space="0" w:color="4F493B"/>
              <w:bottom w:val="single" w:sz="6" w:space="0" w:color="4F493B"/>
              <w:right w:val="single" w:sz="6" w:space="0" w:color="4F493B"/>
            </w:tcBorders>
            <w:shd w:val="clear" w:color="auto" w:fill="D9D9D9" w:themeFill="background1" w:themeFillShade="D9"/>
            <w:vAlign w:val="center"/>
          </w:tcPr>
          <w:p w14:paraId="533B6FD4" w14:textId="77777777" w:rsidR="00D514BC" w:rsidRPr="00576CD2" w:rsidRDefault="00D514BC" w:rsidP="00DC1164">
            <w:pPr>
              <w:spacing w:after="0" w:line="240" w:lineRule="auto"/>
              <w:jc w:val="center"/>
              <w:textAlignment w:val="baseline"/>
              <w:rPr>
                <w:rFonts w:eastAsia="Times New Roman" w:cstheme="minorHAnsi"/>
                <w:b/>
                <w:bCs/>
                <w:sz w:val="20"/>
                <w:szCs w:val="20"/>
              </w:rPr>
            </w:pPr>
          </w:p>
        </w:tc>
      </w:tr>
      <w:tr w:rsidR="00576CD2" w:rsidRPr="00576CD2" w14:paraId="6EE499F9" w14:textId="63EFC4ED"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6897224" w14:textId="77777777" w:rsidR="00D514BC" w:rsidRPr="00576CD2" w:rsidRDefault="00D514BC" w:rsidP="00A839CA">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Intervention-Free Technical Success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1EC81A8"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100.0% (110/110)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936D4CF"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78EEDA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140F5F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427EE34"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AE9F797"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CCC264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0062A2BA" w14:textId="5C0736D6" w:rsidR="00D514BC" w:rsidRPr="00576CD2" w:rsidRDefault="00343940"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110</w:t>
            </w:r>
          </w:p>
        </w:tc>
      </w:tr>
      <w:tr w:rsidR="00576CD2" w:rsidRPr="00576CD2" w14:paraId="3876E49D" w14:textId="45B3D118"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2F3EA27"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All-cause mortality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69B4BAA"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1.8% </w:t>
            </w:r>
          </w:p>
          <w:p w14:paraId="726ACE61" w14:textId="41460785"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(2/110)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67C54E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2.0% (2/101)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6E610A4"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1.1% </w:t>
            </w:r>
          </w:p>
          <w:p w14:paraId="6AD0F61B" w14:textId="413EF26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(1/94)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85BFA5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5.7% </w:t>
            </w:r>
          </w:p>
          <w:p w14:paraId="6D7E56C0" w14:textId="5159AD5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(5/87)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165FEA4"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4.7% </w:t>
            </w:r>
          </w:p>
          <w:p w14:paraId="22D30827" w14:textId="0376033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(3/64)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C823008"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4EC7226" w14:textId="3AD29A9C"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(0/12)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E91FD0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DE3D533" w14:textId="58BDA5E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1E695D76" w14:textId="3D113AA4" w:rsidR="00D514BC" w:rsidRPr="00576CD2" w:rsidRDefault="0094750B"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13</w:t>
            </w:r>
          </w:p>
        </w:tc>
      </w:tr>
      <w:tr w:rsidR="00576CD2" w:rsidRPr="00576CD2" w14:paraId="1EB388E5" w14:textId="5B680BB7"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42D21C4"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Lesion-related mortality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787E7E9"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1.8% </w:t>
            </w:r>
          </w:p>
          <w:p w14:paraId="12754807" w14:textId="4FBD984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(2/110)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858F6A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(0/101)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9956C3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7FA6045" w14:textId="63193865"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(0/94)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23B561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B4C127A" w14:textId="7B9F884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(0/87)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A434B87"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06DC33C" w14:textId="6A7C367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(0/64)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690A79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DE7CACE" w14:textId="6979892E"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(0/12)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157386B"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705C4442" w14:textId="41A4261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41964D1D" w14:textId="30180C06" w:rsidR="00D514BC" w:rsidRPr="00576CD2" w:rsidRDefault="00A5780F"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w:t>
            </w:r>
          </w:p>
        </w:tc>
      </w:tr>
      <w:tr w:rsidR="00576CD2" w:rsidRPr="00576CD2" w14:paraId="3DDAFEF4" w14:textId="55DB3B4A"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89788D7"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Rupture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C350CB4"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8697D2B" w14:textId="4987723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(0/110)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3DF091B"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1F3A507" w14:textId="54650E3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(0/99)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B0EBF2F"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(0/104)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644CC6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FC9260C" w14:textId="2961C163"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(0/83)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E88A00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02C56824" w14:textId="083D30D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(0/62)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7EAE51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A38CF05" w14:textId="267A2BB1"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(0/12)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BC81E77"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06AD786" w14:textId="1A1C53D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567E6305" w14:textId="536924CF" w:rsidR="00D514BC" w:rsidRPr="00576CD2" w:rsidRDefault="003D0253"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r>
      <w:tr w:rsidR="00576CD2" w:rsidRPr="00576CD2" w14:paraId="66620252" w14:textId="64066B22"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573B73A"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Migration*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348E4B8"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BCAE25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E7B269B" w14:textId="5E6D225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(0/97)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0CD43B0"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0584F841" w14:textId="6976E21C"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(0/93)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95F5F29"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9349779" w14:textId="3A1F23A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(0/7</w:t>
            </w:r>
            <w:r w:rsidR="00CD703F" w:rsidRPr="00576CD2">
              <w:rPr>
                <w:rFonts w:eastAsia="Times New Roman" w:cstheme="minorHAnsi"/>
                <w:sz w:val="20"/>
                <w:szCs w:val="20"/>
              </w:rPr>
              <w:t>8</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2B470DA" w14:textId="57A8C0AC" w:rsidR="00D514BC" w:rsidRPr="00576CD2" w:rsidRDefault="008B4B5A">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1.9</w:t>
            </w:r>
            <w:r w:rsidR="00D514BC" w:rsidRPr="00576CD2">
              <w:rPr>
                <w:rFonts w:eastAsia="Times New Roman" w:cstheme="minorHAnsi"/>
                <w:sz w:val="20"/>
                <w:szCs w:val="20"/>
              </w:rPr>
              <w:t xml:space="preserve">% </w:t>
            </w:r>
          </w:p>
          <w:p w14:paraId="51A3F032" w14:textId="7FF466F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8B4B5A" w:rsidRPr="00576CD2">
              <w:rPr>
                <w:rFonts w:eastAsia="Times New Roman" w:cstheme="minorHAnsi"/>
                <w:sz w:val="20"/>
                <w:szCs w:val="20"/>
              </w:rPr>
              <w:t>1/52</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3D88230" w14:textId="5E1FF650" w:rsidR="00D514BC" w:rsidRPr="00576CD2" w:rsidRDefault="008B4B5A">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w:t>
            </w:r>
            <w:r w:rsidR="00D514BC" w:rsidRPr="00576CD2">
              <w:rPr>
                <w:rFonts w:eastAsia="Times New Roman" w:cstheme="minorHAnsi"/>
                <w:sz w:val="20"/>
                <w:szCs w:val="20"/>
              </w:rPr>
              <w:t xml:space="preserve">% </w:t>
            </w:r>
          </w:p>
          <w:p w14:paraId="194295F1" w14:textId="0B39456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8B4B5A" w:rsidRPr="00576CD2">
              <w:rPr>
                <w:rFonts w:eastAsia="Times New Roman" w:cstheme="minorHAnsi"/>
                <w:sz w:val="20"/>
                <w:szCs w:val="20"/>
              </w:rPr>
              <w:t>0/9</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377851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A7F07FB" w14:textId="57459525"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6548E7F8" w14:textId="10BD34BE" w:rsidR="00D514BC" w:rsidRPr="00576CD2" w:rsidRDefault="00C91071"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w:t>
            </w:r>
          </w:p>
        </w:tc>
      </w:tr>
      <w:tr w:rsidR="00576CD2" w:rsidRPr="00576CD2" w14:paraId="5D5E1381" w14:textId="5609D732"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8FFF155"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All Endoleaks*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DDA3925" w14:textId="21A9A131"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17.</w:t>
            </w:r>
            <w:r w:rsidR="00972247" w:rsidRPr="00576CD2">
              <w:rPr>
                <w:rFonts w:eastAsia="Times New Roman" w:cstheme="minorHAnsi"/>
                <w:sz w:val="20"/>
                <w:szCs w:val="20"/>
              </w:rPr>
              <w:t>9</w:t>
            </w:r>
            <w:r w:rsidRPr="00576CD2">
              <w:rPr>
                <w:rFonts w:eastAsia="Times New Roman" w:cstheme="minorHAnsi"/>
                <w:sz w:val="20"/>
                <w:szCs w:val="20"/>
              </w:rPr>
              <w:t>% (1</w:t>
            </w:r>
            <w:r w:rsidR="00BB10A8" w:rsidRPr="00576CD2">
              <w:rPr>
                <w:rFonts w:eastAsia="Times New Roman" w:cstheme="minorHAnsi"/>
                <w:sz w:val="20"/>
                <w:szCs w:val="20"/>
              </w:rPr>
              <w:t>9</w:t>
            </w:r>
            <w:r w:rsidRPr="00576CD2">
              <w:rPr>
                <w:rFonts w:eastAsia="Times New Roman" w:cstheme="minorHAnsi"/>
                <w:sz w:val="20"/>
                <w:szCs w:val="20"/>
              </w:rPr>
              <w:t>/106)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7CF3687"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16.7% (15/90)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36BBD13"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19.8% (17/86)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F36B78A" w14:textId="0399A8B9" w:rsidR="000F4DEA" w:rsidRPr="00576CD2" w:rsidRDefault="00BB10A8">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28.2</w:t>
            </w:r>
            <w:r w:rsidR="00D514BC" w:rsidRPr="00576CD2">
              <w:rPr>
                <w:rFonts w:eastAsia="Times New Roman" w:cstheme="minorHAnsi"/>
                <w:sz w:val="20"/>
                <w:szCs w:val="20"/>
              </w:rPr>
              <w:t>%</w:t>
            </w:r>
          </w:p>
          <w:p w14:paraId="27414830" w14:textId="38EA857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 (</w:t>
            </w:r>
            <w:r w:rsidR="00BB10A8" w:rsidRPr="00576CD2">
              <w:rPr>
                <w:rFonts w:eastAsia="Times New Roman" w:cstheme="minorHAnsi"/>
                <w:sz w:val="20"/>
                <w:szCs w:val="20"/>
              </w:rPr>
              <w:t>20/71)</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22D5F7B" w14:textId="153D04CA"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w:t>
            </w:r>
            <w:r w:rsidR="003B6270" w:rsidRPr="00576CD2">
              <w:rPr>
                <w:rFonts w:eastAsia="Times New Roman" w:cstheme="minorHAnsi"/>
                <w:sz w:val="20"/>
                <w:szCs w:val="20"/>
              </w:rPr>
              <w:t>5.0</w:t>
            </w:r>
            <w:r w:rsidRPr="00576CD2">
              <w:rPr>
                <w:rFonts w:eastAsia="Times New Roman" w:cstheme="minorHAnsi"/>
                <w:sz w:val="20"/>
                <w:szCs w:val="20"/>
              </w:rPr>
              <w:t xml:space="preserve">% </w:t>
            </w:r>
          </w:p>
          <w:p w14:paraId="0E7B1B74" w14:textId="60ED687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3B6270" w:rsidRPr="00576CD2">
              <w:rPr>
                <w:rFonts w:eastAsia="Times New Roman" w:cstheme="minorHAnsi"/>
                <w:sz w:val="20"/>
                <w:szCs w:val="20"/>
              </w:rPr>
              <w:t>11/44</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7B152AE" w14:textId="0ECC6D3A" w:rsidR="00D514BC" w:rsidRPr="00576CD2" w:rsidRDefault="003B6270">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11.1</w:t>
            </w:r>
            <w:r w:rsidR="00D514BC" w:rsidRPr="00576CD2">
              <w:rPr>
                <w:rFonts w:eastAsia="Times New Roman" w:cstheme="minorHAnsi"/>
                <w:sz w:val="20"/>
                <w:szCs w:val="20"/>
              </w:rPr>
              <w:t xml:space="preserve">% </w:t>
            </w:r>
          </w:p>
          <w:p w14:paraId="23D8E598" w14:textId="53870A0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w:t>
            </w:r>
            <w:r w:rsidR="003B6270" w:rsidRPr="00576CD2">
              <w:rPr>
                <w:rFonts w:eastAsia="Times New Roman" w:cstheme="minorHAnsi"/>
                <w:sz w:val="20"/>
                <w:szCs w:val="20"/>
              </w:rPr>
              <w:t>9</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0218528"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2ECB163" w14:textId="3B394BE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52918EE0" w14:textId="19F0E60C" w:rsidR="00D514BC" w:rsidRPr="00576CD2" w:rsidRDefault="004F7820" w:rsidP="00DC1164">
            <w:pPr>
              <w:spacing w:after="0" w:line="240" w:lineRule="auto"/>
              <w:jc w:val="center"/>
              <w:textAlignment w:val="baseline"/>
              <w:rPr>
                <w:rFonts w:eastAsia="Times New Roman"/>
                <w:sz w:val="20"/>
                <w:szCs w:val="20"/>
              </w:rPr>
            </w:pPr>
            <w:r w:rsidRPr="00576CD2">
              <w:rPr>
                <w:rFonts w:eastAsia="Times New Roman"/>
                <w:sz w:val="20"/>
                <w:szCs w:val="20"/>
              </w:rPr>
              <w:t>34</w:t>
            </w:r>
          </w:p>
        </w:tc>
      </w:tr>
      <w:tr w:rsidR="00576CD2" w:rsidRPr="00576CD2" w14:paraId="599E194F" w14:textId="3594CE0D"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D1F3552" w14:textId="77777777" w:rsidR="00D514BC" w:rsidRPr="00576CD2" w:rsidRDefault="00D514BC">
            <w:pPr>
              <w:spacing w:after="0" w:line="240" w:lineRule="auto"/>
              <w:ind w:firstLine="720"/>
              <w:textAlignment w:val="baseline"/>
              <w:rPr>
                <w:rFonts w:eastAsia="Times New Roman" w:cstheme="minorHAnsi"/>
                <w:sz w:val="20"/>
                <w:szCs w:val="20"/>
              </w:rPr>
            </w:pPr>
            <w:r w:rsidRPr="00576CD2">
              <w:rPr>
                <w:rFonts w:eastAsia="Times New Roman" w:cstheme="minorHAnsi"/>
                <w:sz w:val="20"/>
                <w:szCs w:val="20"/>
              </w:rPr>
              <w:t>Type Ia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C20AF5B"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0.9% </w:t>
            </w:r>
          </w:p>
          <w:p w14:paraId="314D757D" w14:textId="0F668EDA" w:rsidR="00D514BC" w:rsidRPr="00576CD2" w:rsidRDefault="00D514BC" w:rsidP="000F4DEA">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(1/106)</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7590E2A"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03A10911" w14:textId="4608B6C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(0/90)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C2068E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1.2% </w:t>
            </w:r>
          </w:p>
          <w:p w14:paraId="53E57DAF" w14:textId="2DAA5F8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(1/86)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6E69961" w14:textId="7E99BFEE"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w:t>
            </w:r>
            <w:r w:rsidR="00BE6282" w:rsidRPr="00576CD2">
              <w:rPr>
                <w:rFonts w:eastAsia="Times New Roman" w:cstheme="minorHAnsi"/>
                <w:sz w:val="20"/>
                <w:szCs w:val="20"/>
              </w:rPr>
              <w:t>8</w:t>
            </w:r>
            <w:r w:rsidRPr="00576CD2">
              <w:rPr>
                <w:rFonts w:eastAsia="Times New Roman" w:cstheme="minorHAnsi"/>
                <w:sz w:val="20"/>
                <w:szCs w:val="20"/>
              </w:rPr>
              <w:t xml:space="preserve">% </w:t>
            </w:r>
          </w:p>
          <w:p w14:paraId="2613785E" w14:textId="6B650F8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w:t>
            </w:r>
            <w:r w:rsidR="00BE6282" w:rsidRPr="00576CD2">
              <w:rPr>
                <w:rFonts w:eastAsia="Times New Roman" w:cstheme="minorHAnsi"/>
                <w:sz w:val="20"/>
                <w:szCs w:val="20"/>
              </w:rPr>
              <w:t>71</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6C2EDA8" w14:textId="1F11E133" w:rsidR="00D514BC" w:rsidRPr="00576CD2" w:rsidRDefault="000D6A40">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2.3</w:t>
            </w:r>
            <w:r w:rsidR="00D514BC" w:rsidRPr="00576CD2">
              <w:rPr>
                <w:rFonts w:eastAsia="Times New Roman" w:cstheme="minorHAnsi"/>
                <w:sz w:val="20"/>
                <w:szCs w:val="20"/>
              </w:rPr>
              <w:t xml:space="preserve">% </w:t>
            </w:r>
          </w:p>
          <w:p w14:paraId="53FD872A" w14:textId="0BF920B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0D6A40" w:rsidRPr="00576CD2">
              <w:rPr>
                <w:rFonts w:eastAsia="Times New Roman" w:cstheme="minorHAnsi"/>
                <w:sz w:val="20"/>
                <w:szCs w:val="20"/>
              </w:rPr>
              <w:t>1/44</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714C26E" w14:textId="6F6804DC" w:rsidR="00D514BC" w:rsidRPr="00576CD2" w:rsidRDefault="000D6A40">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11.1</w:t>
            </w:r>
            <w:r w:rsidR="00D514BC" w:rsidRPr="00576CD2">
              <w:rPr>
                <w:rFonts w:eastAsia="Times New Roman" w:cstheme="minorHAnsi"/>
                <w:sz w:val="20"/>
                <w:szCs w:val="20"/>
              </w:rPr>
              <w:t xml:space="preserve">% </w:t>
            </w:r>
          </w:p>
          <w:p w14:paraId="40372801" w14:textId="048F4E9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0D6A40" w:rsidRPr="00576CD2">
              <w:rPr>
                <w:rFonts w:eastAsia="Times New Roman" w:cstheme="minorHAnsi"/>
                <w:sz w:val="20"/>
                <w:szCs w:val="20"/>
              </w:rPr>
              <w:t>1/9</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EE27193"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F068EB9" w14:textId="40FE17C3"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28B18EC8" w14:textId="60A38BB1" w:rsidR="00D514BC" w:rsidRPr="00576CD2" w:rsidRDefault="00C91071"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5</w:t>
            </w:r>
          </w:p>
        </w:tc>
      </w:tr>
      <w:tr w:rsidR="00576CD2" w:rsidRPr="00576CD2" w14:paraId="26EDC3B3" w14:textId="3EA332E2"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13DDE31" w14:textId="77777777" w:rsidR="00D514BC" w:rsidRPr="00576CD2" w:rsidRDefault="00D514BC">
            <w:pPr>
              <w:spacing w:after="0" w:line="240" w:lineRule="auto"/>
              <w:ind w:firstLine="720"/>
              <w:textAlignment w:val="baseline"/>
              <w:rPr>
                <w:rFonts w:eastAsia="Times New Roman" w:cstheme="minorHAnsi"/>
                <w:sz w:val="20"/>
                <w:szCs w:val="20"/>
              </w:rPr>
            </w:pPr>
            <w:r w:rsidRPr="00576CD2">
              <w:rPr>
                <w:rFonts w:eastAsia="Times New Roman" w:cstheme="minorHAnsi"/>
                <w:sz w:val="20"/>
                <w:szCs w:val="20"/>
              </w:rPr>
              <w:t>Type Ib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181AC8C"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1.9% </w:t>
            </w:r>
          </w:p>
          <w:p w14:paraId="5D81C641" w14:textId="1EA66BC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(2/106)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2E3F04B"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2.2% </w:t>
            </w:r>
          </w:p>
          <w:p w14:paraId="569F9E41" w14:textId="0E81569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(2/90)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CC8B24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1.2% </w:t>
            </w:r>
          </w:p>
          <w:p w14:paraId="4486FA01" w14:textId="026661F5"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(1/86)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F2EF434" w14:textId="08C74C5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w:t>
            </w:r>
            <w:r w:rsidR="00101529" w:rsidRPr="00576CD2">
              <w:rPr>
                <w:rFonts w:eastAsia="Times New Roman" w:cstheme="minorHAnsi"/>
                <w:sz w:val="20"/>
                <w:szCs w:val="20"/>
              </w:rPr>
              <w:t>8</w:t>
            </w:r>
            <w:r w:rsidRPr="00576CD2">
              <w:rPr>
                <w:rFonts w:eastAsia="Times New Roman" w:cstheme="minorHAnsi"/>
                <w:sz w:val="20"/>
                <w:szCs w:val="20"/>
              </w:rPr>
              <w:t xml:space="preserve">% </w:t>
            </w:r>
          </w:p>
          <w:p w14:paraId="0931E2C4" w14:textId="60C7F8F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w:t>
            </w:r>
            <w:r w:rsidR="00101529" w:rsidRPr="00576CD2">
              <w:rPr>
                <w:rFonts w:eastAsia="Times New Roman" w:cstheme="minorHAnsi"/>
                <w:sz w:val="20"/>
                <w:szCs w:val="20"/>
              </w:rPr>
              <w:t>71</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28C5D60" w14:textId="72A6523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4.</w:t>
            </w:r>
            <w:r w:rsidR="00101529" w:rsidRPr="00576CD2">
              <w:rPr>
                <w:rFonts w:eastAsia="Times New Roman" w:cstheme="minorHAnsi"/>
                <w:sz w:val="20"/>
                <w:szCs w:val="20"/>
              </w:rPr>
              <w:t>5</w:t>
            </w:r>
            <w:r w:rsidRPr="00576CD2">
              <w:rPr>
                <w:rFonts w:eastAsia="Times New Roman" w:cstheme="minorHAnsi"/>
                <w:sz w:val="20"/>
                <w:szCs w:val="20"/>
              </w:rPr>
              <w:t xml:space="preserve">% </w:t>
            </w:r>
          </w:p>
          <w:p w14:paraId="59D529FB" w14:textId="71AD4DA3"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w:t>
            </w:r>
            <w:r w:rsidR="00101529" w:rsidRPr="00576CD2">
              <w:rPr>
                <w:rFonts w:eastAsia="Times New Roman" w:cstheme="minorHAnsi"/>
                <w:sz w:val="20"/>
                <w:szCs w:val="20"/>
              </w:rPr>
              <w:t>44</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AA81A50"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1B86589" w14:textId="20886D03" w:rsidR="00D514BC" w:rsidRPr="00576CD2" w:rsidRDefault="00D514BC">
            <w:pPr>
              <w:spacing w:after="0" w:line="240" w:lineRule="auto"/>
              <w:jc w:val="center"/>
              <w:textAlignment w:val="baseline"/>
              <w:rPr>
                <w:rFonts w:eastAsia="Times New Roman"/>
                <w:sz w:val="20"/>
                <w:szCs w:val="20"/>
              </w:rPr>
            </w:pPr>
            <w:r w:rsidRPr="00576CD2">
              <w:rPr>
                <w:rFonts w:eastAsia="Times New Roman"/>
                <w:sz w:val="20"/>
                <w:szCs w:val="20"/>
              </w:rPr>
              <w:t>(0/</w:t>
            </w:r>
            <w:r w:rsidR="00101529" w:rsidRPr="00576CD2">
              <w:rPr>
                <w:rFonts w:eastAsia="Times New Roman"/>
                <w:sz w:val="20"/>
                <w:szCs w:val="20"/>
              </w:rPr>
              <w:t>9</w:t>
            </w:r>
            <w:r w:rsidRPr="00576CD2">
              <w:rPr>
                <w:rFonts w:eastAsia="Times New Roman"/>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1B5A2F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7A1C336D" w14:textId="002BF72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15E3DCD9" w14:textId="452E2643" w:rsidR="00D514BC" w:rsidRPr="00576CD2" w:rsidRDefault="0021737F" w:rsidP="00DC1164">
            <w:pPr>
              <w:spacing w:after="0" w:line="240" w:lineRule="auto"/>
              <w:jc w:val="center"/>
              <w:textAlignment w:val="baseline"/>
              <w:rPr>
                <w:rFonts w:eastAsia="Times New Roman"/>
                <w:sz w:val="20"/>
                <w:szCs w:val="20"/>
              </w:rPr>
            </w:pPr>
            <w:r w:rsidRPr="00576CD2">
              <w:rPr>
                <w:rFonts w:eastAsia="Times New Roman"/>
                <w:sz w:val="20"/>
                <w:szCs w:val="20"/>
              </w:rPr>
              <w:t>4</w:t>
            </w:r>
          </w:p>
        </w:tc>
      </w:tr>
      <w:tr w:rsidR="00576CD2" w:rsidRPr="00576CD2" w14:paraId="70F7F675" w14:textId="71829F84"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A798179" w14:textId="77777777" w:rsidR="00D514BC" w:rsidRPr="00576CD2" w:rsidRDefault="00D514BC">
            <w:pPr>
              <w:spacing w:after="0" w:line="240" w:lineRule="auto"/>
              <w:ind w:firstLine="720"/>
              <w:textAlignment w:val="baseline"/>
              <w:rPr>
                <w:rFonts w:eastAsia="Times New Roman" w:cstheme="minorHAnsi"/>
                <w:sz w:val="20"/>
                <w:szCs w:val="20"/>
              </w:rPr>
            </w:pPr>
            <w:r w:rsidRPr="00576CD2">
              <w:rPr>
                <w:rFonts w:eastAsia="Times New Roman" w:cstheme="minorHAnsi"/>
                <w:sz w:val="20"/>
                <w:szCs w:val="20"/>
              </w:rPr>
              <w:t>Type II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268B175" w14:textId="7D963C22" w:rsidR="00D514BC" w:rsidRPr="00576CD2" w:rsidRDefault="00402426">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15.1</w:t>
            </w:r>
            <w:r w:rsidR="00D514BC" w:rsidRPr="00576CD2">
              <w:rPr>
                <w:rFonts w:eastAsia="Times New Roman" w:cstheme="minorHAnsi"/>
                <w:sz w:val="20"/>
                <w:szCs w:val="20"/>
              </w:rPr>
              <w:t>% (</w:t>
            </w:r>
            <w:r w:rsidRPr="00576CD2">
              <w:rPr>
                <w:rFonts w:eastAsia="Times New Roman" w:cstheme="minorHAnsi"/>
                <w:sz w:val="20"/>
                <w:szCs w:val="20"/>
              </w:rPr>
              <w:t>16</w:t>
            </w:r>
            <w:r w:rsidR="00D514BC" w:rsidRPr="00576CD2">
              <w:rPr>
                <w:rFonts w:eastAsia="Times New Roman" w:cstheme="minorHAnsi"/>
                <w:sz w:val="20"/>
                <w:szCs w:val="20"/>
              </w:rPr>
              <w:t>/106)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56CBFA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14.4% (13/90)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802388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17.4% (15/86)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748B094" w14:textId="078DCF6E" w:rsidR="000F4DEA" w:rsidRPr="00576CD2" w:rsidRDefault="00402426">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22.5</w:t>
            </w:r>
            <w:r w:rsidR="00D514BC" w:rsidRPr="00576CD2">
              <w:rPr>
                <w:rFonts w:eastAsia="Times New Roman" w:cstheme="minorHAnsi"/>
                <w:sz w:val="20"/>
                <w:szCs w:val="20"/>
              </w:rPr>
              <w:t>%</w:t>
            </w:r>
          </w:p>
          <w:p w14:paraId="783F3D00" w14:textId="665B51C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 (</w:t>
            </w:r>
            <w:r w:rsidR="00402426" w:rsidRPr="00576CD2">
              <w:rPr>
                <w:rFonts w:eastAsia="Times New Roman" w:cstheme="minorHAnsi"/>
                <w:sz w:val="20"/>
                <w:szCs w:val="20"/>
              </w:rPr>
              <w:t>16/71</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297CC25" w14:textId="585E1112" w:rsidR="000F4DEA" w:rsidRPr="00576CD2" w:rsidRDefault="007C7D1D">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20.5</w:t>
            </w:r>
            <w:r w:rsidR="00D514BC" w:rsidRPr="00576CD2">
              <w:rPr>
                <w:rFonts w:eastAsia="Times New Roman" w:cstheme="minorHAnsi"/>
                <w:sz w:val="20"/>
                <w:szCs w:val="20"/>
              </w:rPr>
              <w:t xml:space="preserve">% </w:t>
            </w:r>
          </w:p>
          <w:p w14:paraId="2D141E6A" w14:textId="2BC1B31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7C7D1D" w:rsidRPr="00576CD2">
              <w:rPr>
                <w:rFonts w:eastAsia="Times New Roman" w:cstheme="minorHAnsi"/>
                <w:sz w:val="20"/>
                <w:szCs w:val="20"/>
              </w:rPr>
              <w:t>9/44</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6BF42B2" w14:textId="41001AC6" w:rsidR="00D514BC" w:rsidRPr="00576CD2" w:rsidRDefault="007C7D1D">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11.1</w:t>
            </w:r>
            <w:r w:rsidR="00D514BC" w:rsidRPr="00576CD2">
              <w:rPr>
                <w:rFonts w:eastAsia="Times New Roman" w:cstheme="minorHAnsi"/>
                <w:sz w:val="20"/>
                <w:szCs w:val="20"/>
              </w:rPr>
              <w:t xml:space="preserve">% </w:t>
            </w:r>
          </w:p>
          <w:p w14:paraId="77DF9442" w14:textId="3C0FF83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w:t>
            </w:r>
            <w:r w:rsidR="007C7D1D" w:rsidRPr="00576CD2">
              <w:rPr>
                <w:rFonts w:eastAsia="Times New Roman" w:cstheme="minorHAnsi"/>
                <w:sz w:val="20"/>
                <w:szCs w:val="20"/>
              </w:rPr>
              <w:t>9</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3497D1B"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7479A51" w14:textId="20395A4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3B2E865C" w14:textId="058F33F0" w:rsidR="00D514BC" w:rsidRPr="00576CD2" w:rsidRDefault="00AD5AAF"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31</w:t>
            </w:r>
          </w:p>
        </w:tc>
      </w:tr>
      <w:tr w:rsidR="00576CD2" w:rsidRPr="00576CD2" w14:paraId="6FCB5084" w14:textId="07F7904D"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3B6C8F5" w14:textId="77777777" w:rsidR="00D514BC" w:rsidRPr="00576CD2" w:rsidRDefault="00D514BC">
            <w:pPr>
              <w:spacing w:after="0" w:line="240" w:lineRule="auto"/>
              <w:ind w:firstLine="720"/>
              <w:textAlignment w:val="baseline"/>
              <w:rPr>
                <w:rFonts w:eastAsia="Times New Roman" w:cstheme="minorHAnsi"/>
                <w:sz w:val="20"/>
                <w:szCs w:val="20"/>
              </w:rPr>
            </w:pPr>
            <w:r w:rsidRPr="00576CD2">
              <w:rPr>
                <w:rFonts w:eastAsia="Times New Roman" w:cstheme="minorHAnsi"/>
                <w:sz w:val="20"/>
                <w:szCs w:val="20"/>
              </w:rPr>
              <w:t>Type III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1560374"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w:t>
            </w:r>
          </w:p>
          <w:p w14:paraId="464852EB" w14:textId="69BB4BC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 (0/106)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0E0E58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FA1DB35" w14:textId="4D86366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(0/90)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66682B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F63784A" w14:textId="2A6BD8B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(0/86)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6ED5DFA"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060A8847" w14:textId="4BB2517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r w:rsidR="005C1204" w:rsidRPr="00576CD2">
              <w:rPr>
                <w:rFonts w:eastAsia="Times New Roman" w:cstheme="minorHAnsi"/>
                <w:sz w:val="20"/>
                <w:szCs w:val="20"/>
              </w:rPr>
              <w:t>71</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E63A23D"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D1AB3A7" w14:textId="12EC02E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r w:rsidR="001B1F5D" w:rsidRPr="00576CD2">
              <w:rPr>
                <w:rFonts w:eastAsia="Times New Roman" w:cstheme="minorHAnsi"/>
                <w:sz w:val="20"/>
                <w:szCs w:val="20"/>
              </w:rPr>
              <w:t>44</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492430A"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46AFFC8" w14:textId="0337DBA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r w:rsidR="001B1F5D" w:rsidRPr="00576CD2">
              <w:rPr>
                <w:rFonts w:eastAsia="Times New Roman" w:cstheme="minorHAnsi"/>
                <w:sz w:val="20"/>
                <w:szCs w:val="20"/>
              </w:rPr>
              <w:t>9</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EBB4003"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77E38DFE" w14:textId="455165C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3F6791F2" w14:textId="05A8F362" w:rsidR="00D514BC" w:rsidRPr="00576CD2" w:rsidRDefault="003D0253"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r>
      <w:tr w:rsidR="00576CD2" w:rsidRPr="00576CD2" w14:paraId="7A79ED0F" w14:textId="3960A303"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5DCD2E9" w14:textId="77777777" w:rsidR="00D514BC" w:rsidRPr="00576CD2" w:rsidRDefault="00D514BC">
            <w:pPr>
              <w:spacing w:after="0" w:line="240" w:lineRule="auto"/>
              <w:ind w:firstLine="720"/>
              <w:textAlignment w:val="baseline"/>
              <w:rPr>
                <w:rFonts w:eastAsia="Times New Roman" w:cstheme="minorHAnsi"/>
                <w:sz w:val="20"/>
                <w:szCs w:val="20"/>
              </w:rPr>
            </w:pPr>
            <w:r w:rsidRPr="00576CD2">
              <w:rPr>
                <w:rFonts w:eastAsia="Times New Roman" w:cstheme="minorHAnsi"/>
                <w:sz w:val="20"/>
                <w:szCs w:val="20"/>
              </w:rPr>
              <w:t>Type IV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9B1112F"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3941154" w14:textId="1106AA49" w:rsidR="00D514BC" w:rsidRPr="00576CD2" w:rsidRDefault="00D514BC" w:rsidP="000F4DEA">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(0/106)</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0FDF1D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269B7CE" w14:textId="3ED15D8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(0/90)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951A8B0"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CBD3013" w14:textId="25B12E8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(0/86)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B6A340B"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30EA4BBA" w14:textId="10F2E5B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r w:rsidR="005C1204" w:rsidRPr="00576CD2">
              <w:rPr>
                <w:rFonts w:eastAsia="Times New Roman" w:cstheme="minorHAnsi"/>
                <w:sz w:val="20"/>
                <w:szCs w:val="20"/>
              </w:rPr>
              <w:t>71</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B3C901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767FE1B" w14:textId="516493D3"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r w:rsidR="001B1F5D" w:rsidRPr="00576CD2">
              <w:rPr>
                <w:rFonts w:eastAsia="Times New Roman" w:cstheme="minorHAnsi"/>
                <w:sz w:val="20"/>
                <w:szCs w:val="20"/>
              </w:rPr>
              <w:t>44</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619FB99"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B8C1BFC" w14:textId="1A87E26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r w:rsidR="001B1F5D" w:rsidRPr="00576CD2">
              <w:rPr>
                <w:rFonts w:eastAsia="Times New Roman" w:cstheme="minorHAnsi"/>
                <w:sz w:val="20"/>
                <w:szCs w:val="20"/>
              </w:rPr>
              <w:t>9</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C24437F"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91A8C02" w14:textId="5093AB6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4B5A88B9" w14:textId="56D17630" w:rsidR="00D514BC" w:rsidRPr="00576CD2" w:rsidRDefault="003D0253"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r>
      <w:tr w:rsidR="00576CD2" w:rsidRPr="00576CD2" w14:paraId="56D81DF5" w14:textId="3E41CC4D"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2884B77" w14:textId="6DD1335A"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Aneurysm Enlargement*</w:t>
            </w:r>
            <w:r w:rsidR="002C339C" w:rsidRPr="00576CD2">
              <w:rPr>
                <w:rFonts w:eastAsia="Times New Roman" w:cstheme="minorHAnsi"/>
                <w:sz w:val="20"/>
                <w:szCs w:val="20"/>
                <w:vertAlign w:val="superscript"/>
              </w:rPr>
              <w:t>‡</w:t>
            </w:r>
            <w:r w:rsidRPr="00576CD2">
              <w:rPr>
                <w:rFonts w:eastAsia="Times New Roman" w:cstheme="minorHAnsi"/>
                <w:sz w:val="20"/>
                <w:szCs w:val="20"/>
              </w:rPr>
              <w:t>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1C3E72D"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4BFA43D"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388861C" w14:textId="6A05D16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w:t>
            </w:r>
            <w:r w:rsidR="00103DE2" w:rsidRPr="00576CD2">
              <w:rPr>
                <w:rFonts w:eastAsia="Times New Roman" w:cstheme="minorHAnsi"/>
                <w:sz w:val="20"/>
                <w:szCs w:val="20"/>
              </w:rPr>
              <w:t>6</w:t>
            </w:r>
            <w:r w:rsidRPr="00576CD2">
              <w:rPr>
                <w:rFonts w:eastAsia="Times New Roman" w:cstheme="minorHAnsi"/>
                <w:sz w:val="20"/>
                <w:szCs w:val="20"/>
              </w:rPr>
              <w:t>)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8F4AFC8"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1.1% </w:t>
            </w:r>
          </w:p>
          <w:p w14:paraId="678DB510" w14:textId="6CC126A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(1/93)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224EC9C" w14:textId="7C3F2E89" w:rsidR="00461729"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10.</w:t>
            </w:r>
            <w:r w:rsidR="00C01C5C" w:rsidRPr="00576CD2">
              <w:rPr>
                <w:rFonts w:eastAsia="Times New Roman" w:cstheme="minorHAnsi"/>
                <w:sz w:val="20"/>
                <w:szCs w:val="20"/>
              </w:rPr>
              <w:t>3</w:t>
            </w:r>
            <w:r w:rsidRPr="00576CD2">
              <w:rPr>
                <w:rFonts w:eastAsia="Times New Roman" w:cstheme="minorHAnsi"/>
                <w:sz w:val="20"/>
                <w:szCs w:val="20"/>
              </w:rPr>
              <w:t xml:space="preserve">% </w:t>
            </w:r>
          </w:p>
          <w:p w14:paraId="42681F4C" w14:textId="1EE940F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(8/7</w:t>
            </w:r>
            <w:r w:rsidR="00103DE2" w:rsidRPr="00576CD2">
              <w:rPr>
                <w:rFonts w:eastAsia="Times New Roman" w:cstheme="minorHAnsi"/>
                <w:sz w:val="20"/>
                <w:szCs w:val="20"/>
              </w:rPr>
              <w:t>8</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CA0AB92" w14:textId="5B93EB9D" w:rsidR="00461729" w:rsidRPr="00576CD2" w:rsidRDefault="00EF5A8D">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13.5</w:t>
            </w:r>
            <w:r w:rsidR="00D514BC" w:rsidRPr="00576CD2">
              <w:rPr>
                <w:rFonts w:eastAsia="Times New Roman" w:cstheme="minorHAnsi"/>
                <w:sz w:val="20"/>
                <w:szCs w:val="20"/>
              </w:rPr>
              <w:t>%</w:t>
            </w:r>
          </w:p>
          <w:p w14:paraId="2F858372" w14:textId="54C2CCB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 (7/</w:t>
            </w:r>
            <w:r w:rsidR="00FE49E0" w:rsidRPr="00576CD2">
              <w:rPr>
                <w:rFonts w:eastAsia="Times New Roman" w:cstheme="minorHAnsi"/>
                <w:sz w:val="20"/>
                <w:szCs w:val="20"/>
              </w:rPr>
              <w:t>52</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F7EB6E8" w14:textId="50334FEE" w:rsidR="00D514BC" w:rsidRPr="00576CD2" w:rsidRDefault="00816B20">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33.3</w:t>
            </w:r>
            <w:r w:rsidR="00D514BC" w:rsidRPr="00576CD2">
              <w:rPr>
                <w:rFonts w:eastAsia="Times New Roman" w:cstheme="minorHAnsi"/>
                <w:sz w:val="20"/>
                <w:szCs w:val="20"/>
              </w:rPr>
              <w:t xml:space="preserve">% </w:t>
            </w:r>
          </w:p>
          <w:p w14:paraId="30108847" w14:textId="5B8E4F0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(3/</w:t>
            </w:r>
            <w:r w:rsidR="0075218D" w:rsidRPr="00576CD2">
              <w:rPr>
                <w:rFonts w:eastAsia="Times New Roman" w:cstheme="minorHAnsi"/>
                <w:sz w:val="20"/>
                <w:szCs w:val="20"/>
              </w:rPr>
              <w:t>9</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DA66EC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0548D9CC" w14:textId="263E433E"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7D477D8F" w14:textId="11C60FBB" w:rsidR="00D514BC" w:rsidRPr="00576CD2" w:rsidRDefault="00E53F7A"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14</w:t>
            </w:r>
          </w:p>
        </w:tc>
      </w:tr>
      <w:tr w:rsidR="00576CD2" w:rsidRPr="00576CD2" w14:paraId="2E015150" w14:textId="59EBD494"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C021858"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Loss of Patency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0BE22BE"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376CC7BA" w14:textId="3B0EC591"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(0/109)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5F5668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33709A7" w14:textId="170C827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(0/96)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272931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17A38C3" w14:textId="6E0860B3"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(0/93)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683FBB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8E07CA9" w14:textId="345B882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(0/81)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807676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371B47D8" w14:textId="2D704B5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(0/59)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AD2A3C9"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CA00B40" w14:textId="0B3BA91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(0/10)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3CC9444"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2DC71AA" w14:textId="34F4862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47471A97" w14:textId="0E042FF7" w:rsidR="00D514BC" w:rsidRPr="00576CD2" w:rsidRDefault="00880965"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r>
      <w:tr w:rsidR="00576CD2" w:rsidRPr="00576CD2" w14:paraId="13F23DC5" w14:textId="2401362F"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39939A4"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Decreased stent-graft lumen diameter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0742C6B"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844F84F" w14:textId="7DE1F4A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(0/106)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521137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78F6BD39" w14:textId="426A5A9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(0/90)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44121D8"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CC61B56" w14:textId="108187BD"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(0/87)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2EB511F"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7136DCF" w14:textId="005B8AE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(0/74)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1F74DCA"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2.1% </w:t>
            </w:r>
          </w:p>
          <w:p w14:paraId="4F68878C" w14:textId="5F15CA1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(1/48)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5258CB3"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7824EE88" w14:textId="4DE213FC"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(0/6)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9741AA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3BDFCE18" w14:textId="7A60AA5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5D88670A" w14:textId="61C8D079" w:rsidR="00D514BC" w:rsidRPr="00576CD2" w:rsidRDefault="00880965"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w:t>
            </w:r>
          </w:p>
        </w:tc>
      </w:tr>
      <w:tr w:rsidR="00576CD2" w:rsidRPr="00576CD2" w14:paraId="01DB4673" w14:textId="64180EBD"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F387A3E"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Fractures*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2F4B314" w14:textId="77777777" w:rsidR="000F4DEA"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4B687E5" w14:textId="5728CAB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(0/107)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530AEF9"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9884132" w14:textId="60F57FB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(0/97)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E0515FA"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B39EF4E" w14:textId="61BC408C"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(0/93)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E795A2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89E82DE" w14:textId="2893F06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(0/76)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649473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40F381E" w14:textId="6770325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(0/49)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86B7F8C"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36E8BCF4" w14:textId="3C93AD4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3066A3F"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9A59F41" w14:textId="262E8DE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(0/0)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09FA6079" w14:textId="358676DC" w:rsidR="00D514BC" w:rsidRPr="00576CD2" w:rsidRDefault="00880965"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r>
      <w:tr w:rsidR="00576CD2" w:rsidRPr="00576CD2" w14:paraId="158E8BCE" w14:textId="02C1D936"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42A6857"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Conversion to Open Repair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3069BE5" w14:textId="77777777" w:rsidR="00461729"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79F1C525" w14:textId="4B8E094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(0/110)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481122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B2510BB" w14:textId="77B5621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(0/99)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B53FC8F"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7FFAC2D" w14:textId="7428C67F"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(0/94)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3C06EAC"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67D16CF" w14:textId="20839A3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(0/83)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04E937B"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7E0E296" w14:textId="543F027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(0/62)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01D045F"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96150BC" w14:textId="1F08CFE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(0/12)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BA9E3C4"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56317A3" w14:textId="4DF1ADE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61B69CCB" w14:textId="7D399932" w:rsidR="00D514BC" w:rsidRPr="00576CD2" w:rsidRDefault="00880965"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r>
      <w:tr w:rsidR="00576CD2" w:rsidRPr="00576CD2" w14:paraId="6A158C50" w14:textId="71EDCB71"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8960B2C"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Secondary Intervention related to device or pathology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C9AD666" w14:textId="77777777" w:rsidR="00461729"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1.8% </w:t>
            </w:r>
          </w:p>
          <w:p w14:paraId="4F374657" w14:textId="772409D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(2/110)</w:t>
            </w:r>
            <w:r w:rsidRPr="00576CD2">
              <w:rPr>
                <w:rFonts w:eastAsiaTheme="minorEastAsia" w:cstheme="minorHAnsi"/>
                <w:sz w:val="20"/>
                <w:szCs w:val="20"/>
                <w:vertAlign w:val="superscript"/>
              </w:rPr>
              <w:t xml:space="preserve"> a</w:t>
            </w:r>
            <w:r w:rsidRPr="00576CD2">
              <w:rPr>
                <w:rFonts w:eastAsia="Times New Roman" w:cstheme="minorHAnsi"/>
                <w:sz w:val="20"/>
                <w:szCs w:val="20"/>
              </w:rPr>
              <w:t>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DC4C1B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2.0% </w:t>
            </w:r>
          </w:p>
          <w:p w14:paraId="169249A8" w14:textId="66A3321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(2/99)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66246D9"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3.2% </w:t>
            </w:r>
          </w:p>
          <w:p w14:paraId="0520618A" w14:textId="400CCEB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(3/94)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AC30D97"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2.4% </w:t>
            </w:r>
          </w:p>
          <w:p w14:paraId="464AA4C1" w14:textId="3862A0E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(2/83)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5137420"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3.2% </w:t>
            </w:r>
          </w:p>
          <w:p w14:paraId="389F4DBD" w14:textId="317CA004"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(2/62)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281C8E6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52762C64" w14:textId="643D8B7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(0/12)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0C9BCAC"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1A91E547" w14:textId="4F93B66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4AA2A27D" w14:textId="335EF8D1" w:rsidR="00D514BC" w:rsidRPr="00576CD2" w:rsidRDefault="00F76E87"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11</w:t>
            </w:r>
          </w:p>
        </w:tc>
      </w:tr>
      <w:tr w:rsidR="00576CD2" w:rsidRPr="00576CD2" w14:paraId="498C1F9C" w14:textId="65D00ED1"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7B4C9C1"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lastRenderedPageBreak/>
              <w:t>Thromboembolic event attributed to stent-graft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3FAB657" w14:textId="77777777" w:rsidR="00461729"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DACD225" w14:textId="037A402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(0/108)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2D4D185"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7A06B7E5" w14:textId="2047856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(0/96)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31BE0C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EC9BFF4" w14:textId="4344D7E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(0/93)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0FC2FD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CD5E5E8" w14:textId="67ED2DA0"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(0/81)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F7A7F3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44E1CF45" w14:textId="265AABB8"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(0/60)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11DF26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5D969AD" w14:textId="6A90D3E5"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(0/10)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AFFE532"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20B7E2FF" w14:textId="06580D3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79D5443C" w14:textId="0BC65D39" w:rsidR="00D514BC" w:rsidRPr="00576CD2" w:rsidRDefault="00880965"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p>
        </w:tc>
      </w:tr>
      <w:tr w:rsidR="00576CD2" w:rsidRPr="00576CD2" w14:paraId="5A06B14F" w14:textId="241DDAFE"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FA58EBF" w14:textId="1AD873C4"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Device-related Adverse Events </w:t>
            </w:r>
            <w:r w:rsidR="00D54FA2" w:rsidRPr="00576CD2">
              <w:rPr>
                <w:rFonts w:eastAsia="Times New Roman" w:cstheme="minorHAnsi"/>
                <w:sz w:val="20"/>
                <w:szCs w:val="20"/>
              </w:rPr>
              <w:t>(CEC-adjudicated)</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E8099CF" w14:textId="7D7B8DA5" w:rsidR="0079559E" w:rsidRPr="00576CD2" w:rsidRDefault="006B0361">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4.6</w:t>
            </w:r>
            <w:r w:rsidR="00D514BC" w:rsidRPr="00576CD2">
              <w:rPr>
                <w:rFonts w:eastAsia="Times New Roman" w:cstheme="minorHAnsi"/>
                <w:sz w:val="20"/>
                <w:szCs w:val="20"/>
              </w:rPr>
              <w:t xml:space="preserve">% </w:t>
            </w:r>
          </w:p>
          <w:p w14:paraId="2D61FE85" w14:textId="011EC889"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D10E77" w:rsidRPr="00576CD2">
              <w:rPr>
                <w:rFonts w:eastAsia="Times New Roman" w:cstheme="minorHAnsi"/>
                <w:sz w:val="20"/>
                <w:szCs w:val="20"/>
              </w:rPr>
              <w:t>5</w:t>
            </w:r>
            <w:r w:rsidRPr="00576CD2">
              <w:rPr>
                <w:rFonts w:eastAsia="Times New Roman" w:cstheme="minorHAnsi"/>
                <w:sz w:val="20"/>
                <w:szCs w:val="20"/>
              </w:rPr>
              <w:t>/</w:t>
            </w:r>
            <w:r w:rsidR="00D10E77" w:rsidRPr="00576CD2">
              <w:rPr>
                <w:rFonts w:eastAsia="Times New Roman" w:cstheme="minorHAnsi"/>
                <w:sz w:val="20"/>
                <w:szCs w:val="20"/>
              </w:rPr>
              <w:t>109</w:t>
            </w:r>
            <w:r w:rsidRPr="00576CD2">
              <w:rPr>
                <w:rFonts w:eastAsia="Times New Roman" w:cstheme="minorHAnsi"/>
                <w:sz w:val="20"/>
                <w:szCs w:val="20"/>
              </w:rPr>
              <w:t>)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D190DEB" w14:textId="14FFDF47" w:rsidR="00D514BC" w:rsidRPr="00576CD2" w:rsidRDefault="005105CD">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3</w:t>
            </w:r>
            <w:r w:rsidR="00D514BC" w:rsidRPr="00576CD2">
              <w:rPr>
                <w:rFonts w:eastAsia="Times New Roman" w:cstheme="minorHAnsi"/>
                <w:sz w:val="20"/>
                <w:szCs w:val="20"/>
              </w:rPr>
              <w:t xml:space="preserve">.0% </w:t>
            </w:r>
          </w:p>
          <w:p w14:paraId="236DF295" w14:textId="3725606A"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8E0CEB" w:rsidRPr="00576CD2">
              <w:rPr>
                <w:rFonts w:eastAsia="Times New Roman" w:cstheme="minorHAnsi"/>
                <w:sz w:val="20"/>
                <w:szCs w:val="20"/>
              </w:rPr>
              <w:t>3</w:t>
            </w:r>
            <w:r w:rsidRPr="00576CD2">
              <w:rPr>
                <w:rFonts w:eastAsia="Times New Roman" w:cstheme="minorHAnsi"/>
                <w:sz w:val="20"/>
                <w:szCs w:val="20"/>
              </w:rPr>
              <w:t>/99)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5A3AFF5" w14:textId="77777777" w:rsidR="00D514BC" w:rsidRPr="00576CD2" w:rsidRDefault="00D514BC" w:rsidP="002D4A6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1.1% </w:t>
            </w:r>
          </w:p>
          <w:p w14:paraId="4C0015CB" w14:textId="2FF09BA3" w:rsidR="00D514BC" w:rsidRPr="00576CD2" w:rsidRDefault="00D514BC" w:rsidP="002D4A6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w:t>
            </w:r>
            <w:r w:rsidR="008E0CEB" w:rsidRPr="00576CD2">
              <w:rPr>
                <w:rFonts w:eastAsia="Times New Roman" w:cstheme="minorHAnsi"/>
                <w:sz w:val="20"/>
                <w:szCs w:val="20"/>
              </w:rPr>
              <w:t>95</w:t>
            </w:r>
            <w:r w:rsidRPr="00576CD2">
              <w:rPr>
                <w:rFonts w:eastAsia="Times New Roman" w:cstheme="minorHAnsi"/>
                <w:sz w:val="20"/>
                <w:szCs w:val="20"/>
              </w:rPr>
              <w:t>)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AB79C4C" w14:textId="3C8F8532"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8.</w:t>
            </w:r>
            <w:r w:rsidR="00F40B25" w:rsidRPr="00576CD2">
              <w:rPr>
                <w:rFonts w:eastAsia="Times New Roman" w:cstheme="minorHAnsi"/>
                <w:sz w:val="20"/>
                <w:szCs w:val="20"/>
              </w:rPr>
              <w:t>6</w:t>
            </w:r>
            <w:r w:rsidRPr="00576CD2">
              <w:rPr>
                <w:rFonts w:eastAsia="Times New Roman" w:cstheme="minorHAnsi"/>
                <w:sz w:val="20"/>
                <w:szCs w:val="20"/>
              </w:rPr>
              <w:t xml:space="preserve">% </w:t>
            </w:r>
          </w:p>
          <w:p w14:paraId="3A50FA84" w14:textId="68F5A5D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(7/</w:t>
            </w:r>
            <w:r w:rsidR="00F40B25" w:rsidRPr="00576CD2">
              <w:rPr>
                <w:rFonts w:eastAsia="Times New Roman" w:cstheme="minorHAnsi"/>
                <w:sz w:val="20"/>
                <w:szCs w:val="20"/>
              </w:rPr>
              <w:t>81</w:t>
            </w:r>
            <w:r w:rsidRPr="00576CD2">
              <w:rPr>
                <w:rFonts w:eastAsia="Times New Roman" w:cstheme="minorHAnsi"/>
                <w:sz w:val="20"/>
                <w:szCs w:val="20"/>
              </w:rPr>
              <w:t>)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43681A6" w14:textId="32E8A278" w:rsidR="00D514BC" w:rsidRPr="00576CD2" w:rsidRDefault="00F40B25">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1.7</w:t>
            </w:r>
            <w:r w:rsidR="00D514BC" w:rsidRPr="00576CD2">
              <w:rPr>
                <w:rFonts w:eastAsia="Times New Roman" w:cstheme="minorHAnsi"/>
                <w:sz w:val="20"/>
                <w:szCs w:val="20"/>
              </w:rPr>
              <w:t xml:space="preserve">% </w:t>
            </w:r>
          </w:p>
          <w:p w14:paraId="4FA777C3" w14:textId="21AD9C41"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w:t>
            </w:r>
            <w:r w:rsidR="00F40B25" w:rsidRPr="00576CD2">
              <w:rPr>
                <w:rFonts w:eastAsia="Times New Roman" w:cstheme="minorHAnsi"/>
                <w:sz w:val="20"/>
                <w:szCs w:val="20"/>
              </w:rPr>
              <w:t>1/59</w:t>
            </w:r>
            <w:r w:rsidRPr="00576CD2">
              <w:rPr>
                <w:rFonts w:eastAsia="Times New Roman" w:cstheme="minorHAnsi"/>
                <w:sz w:val="20"/>
                <w:szCs w:val="20"/>
              </w:rPr>
              <w:t>)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34D48D6"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66AA5D90" w14:textId="1C50281B"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w:t>
            </w:r>
            <w:r w:rsidR="0098675F" w:rsidRPr="00576CD2">
              <w:rPr>
                <w:rFonts w:eastAsia="Times New Roman" w:cstheme="minorHAnsi"/>
                <w:sz w:val="20"/>
                <w:szCs w:val="20"/>
              </w:rPr>
              <w:t>8</w:t>
            </w:r>
            <w:r w:rsidRPr="00576CD2">
              <w:rPr>
                <w:rFonts w:eastAsia="Times New Roman" w:cstheme="minorHAnsi"/>
                <w:sz w:val="20"/>
                <w:szCs w:val="20"/>
              </w:rPr>
              <w:t>)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3F8239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 xml:space="preserve">0.0% </w:t>
            </w:r>
          </w:p>
          <w:p w14:paraId="30D44278" w14:textId="56F018E6"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(0/1)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286708C8" w14:textId="5978B73D" w:rsidR="00D514BC" w:rsidRPr="00576CD2" w:rsidRDefault="004C7187"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1</w:t>
            </w:r>
            <w:r w:rsidR="00B13365" w:rsidRPr="00576CD2">
              <w:rPr>
                <w:rFonts w:eastAsia="Times New Roman" w:cstheme="minorHAnsi"/>
                <w:sz w:val="20"/>
                <w:szCs w:val="20"/>
              </w:rPr>
              <w:t>6</w:t>
            </w:r>
          </w:p>
        </w:tc>
      </w:tr>
      <w:tr w:rsidR="00576CD2" w:rsidRPr="00576CD2" w14:paraId="51ED4B23" w14:textId="63259BDA" w:rsidTr="00AC4ED8">
        <w:tc>
          <w:tcPr>
            <w:tcW w:w="9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4DCD1AFC" w14:textId="77777777" w:rsidR="00D514BC" w:rsidRPr="00576CD2" w:rsidRDefault="00D514BC" w:rsidP="00A8350E">
            <w:pPr>
              <w:spacing w:after="0" w:line="240" w:lineRule="auto"/>
              <w:ind w:left="165"/>
              <w:textAlignment w:val="baseline"/>
              <w:rPr>
                <w:rFonts w:eastAsia="Times New Roman" w:cstheme="minorHAnsi"/>
                <w:sz w:val="20"/>
                <w:szCs w:val="20"/>
              </w:rPr>
            </w:pPr>
            <w:r w:rsidRPr="00576CD2">
              <w:rPr>
                <w:rFonts w:eastAsia="Times New Roman" w:cstheme="minorHAnsi"/>
                <w:sz w:val="20"/>
                <w:szCs w:val="20"/>
              </w:rPr>
              <w:t>Vascular access complications at the index procedure </w:t>
            </w:r>
          </w:p>
        </w:tc>
        <w:tc>
          <w:tcPr>
            <w:tcW w:w="614"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509115FB"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5.5% (6/110)** </w:t>
            </w:r>
          </w:p>
        </w:tc>
        <w:tc>
          <w:tcPr>
            <w:tcW w:w="43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69050F4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418"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02271EFD"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646"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31DC726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622"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11CBBFE"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579"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7664FE6C"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433" w:type="pct"/>
            <w:tcBorders>
              <w:top w:val="nil"/>
              <w:left w:val="single" w:sz="6" w:space="0" w:color="4F493B"/>
              <w:bottom w:val="single" w:sz="6" w:space="0" w:color="4F493B"/>
              <w:right w:val="single" w:sz="6" w:space="0" w:color="4F493B"/>
            </w:tcBorders>
            <w:shd w:val="clear" w:color="auto" w:fill="FFFFFF" w:themeFill="background1"/>
            <w:vAlign w:val="center"/>
            <w:hideMark/>
          </w:tcPr>
          <w:p w14:paraId="1B817EE1" w14:textId="77777777" w:rsidR="00D514BC" w:rsidRPr="00576CD2" w:rsidRDefault="00D514BC">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 </w:t>
            </w:r>
          </w:p>
        </w:tc>
        <w:tc>
          <w:tcPr>
            <w:tcW w:w="332" w:type="pct"/>
            <w:tcBorders>
              <w:top w:val="nil"/>
              <w:left w:val="single" w:sz="6" w:space="0" w:color="4F493B"/>
              <w:bottom w:val="single" w:sz="6" w:space="0" w:color="4F493B"/>
              <w:right w:val="single" w:sz="6" w:space="0" w:color="4F493B"/>
            </w:tcBorders>
            <w:shd w:val="clear" w:color="auto" w:fill="FFFFFF" w:themeFill="background1"/>
            <w:vAlign w:val="center"/>
          </w:tcPr>
          <w:p w14:paraId="34D8E02C" w14:textId="55C2135A" w:rsidR="00D514BC" w:rsidRPr="00576CD2" w:rsidRDefault="00C2262F" w:rsidP="00DC1164">
            <w:pPr>
              <w:spacing w:after="0" w:line="240" w:lineRule="auto"/>
              <w:jc w:val="center"/>
              <w:textAlignment w:val="baseline"/>
              <w:rPr>
                <w:rFonts w:eastAsia="Times New Roman" w:cstheme="minorHAnsi"/>
                <w:sz w:val="20"/>
                <w:szCs w:val="20"/>
              </w:rPr>
            </w:pPr>
            <w:r w:rsidRPr="00576CD2">
              <w:rPr>
                <w:rFonts w:eastAsia="Times New Roman" w:cstheme="minorHAnsi"/>
                <w:sz w:val="20"/>
                <w:szCs w:val="20"/>
              </w:rPr>
              <w:t>NA</w:t>
            </w:r>
          </w:p>
        </w:tc>
      </w:tr>
      <w:tr w:rsidR="00576CD2" w:rsidRPr="00576CD2" w14:paraId="57BB8FD5" w14:textId="77777777" w:rsidTr="00AC4ED8">
        <w:tc>
          <w:tcPr>
            <w:tcW w:w="5000" w:type="pct"/>
            <w:gridSpan w:val="9"/>
            <w:tcBorders>
              <w:top w:val="nil"/>
              <w:left w:val="nil"/>
              <w:bottom w:val="nil"/>
              <w:right w:val="nil"/>
            </w:tcBorders>
            <w:shd w:val="clear" w:color="auto" w:fill="FFFFFF" w:themeFill="background1"/>
          </w:tcPr>
          <w:p w14:paraId="17686FE9" w14:textId="6D3ED2DB" w:rsidR="00461729" w:rsidRPr="00576CD2" w:rsidRDefault="00461729" w:rsidP="000B4703">
            <w:pPr>
              <w:spacing w:after="0" w:line="240" w:lineRule="auto"/>
              <w:jc w:val="both"/>
              <w:textAlignment w:val="baseline"/>
              <w:rPr>
                <w:rFonts w:eastAsia="Times New Roman" w:cstheme="minorHAnsi"/>
                <w:sz w:val="20"/>
                <w:szCs w:val="20"/>
              </w:rPr>
            </w:pPr>
            <w:r w:rsidRPr="00576CD2">
              <w:rPr>
                <w:rFonts w:eastAsia="Times New Roman" w:cstheme="minorHAnsi"/>
                <w:sz w:val="20"/>
                <w:szCs w:val="20"/>
              </w:rPr>
              <w:t>All values expressed as % (n/N) for endpoints reported within the specified window. </w:t>
            </w:r>
            <w:r w:rsidRPr="00576CD2">
              <w:rPr>
                <w:rFonts w:eastAsia="Times New Roman" w:cstheme="minorHAnsi"/>
                <w:sz w:val="20"/>
                <w:szCs w:val="20"/>
              </w:rPr>
              <w:br/>
              <w:t>* This data represents Core Laboratory assessed endpoint, including any reports of fracture, migration, endoleak, or aneurysm enlargement within each interval, including observations previously identified at earlier intervals that are considered ongoing or persistent and observations identified that later resolved within the interval. </w:t>
            </w:r>
          </w:p>
          <w:p w14:paraId="16A3A60F" w14:textId="67A2F40A" w:rsidR="00461729" w:rsidRPr="00576CD2" w:rsidRDefault="00461729" w:rsidP="000B4703">
            <w:pPr>
              <w:spacing w:after="0" w:line="240" w:lineRule="auto"/>
              <w:jc w:val="both"/>
              <w:textAlignment w:val="baseline"/>
              <w:rPr>
                <w:rFonts w:eastAsia="Times New Roman" w:cstheme="minorHAnsi"/>
                <w:sz w:val="20"/>
                <w:szCs w:val="20"/>
              </w:rPr>
            </w:pPr>
            <w:r w:rsidRPr="00576CD2">
              <w:rPr>
                <w:rFonts w:eastAsia="Times New Roman" w:cstheme="minorHAnsi"/>
                <w:sz w:val="20"/>
                <w:szCs w:val="20"/>
              </w:rPr>
              <w:t>**A06-002 - neck hematoma; A13-008 - right femoral artery dissection secondary to Perclose failure; A20-001 - right femoral artery laceration secondary to failed Perclose; A22-005 - right femoral and left common femoral artery injury; A24-001 - left CFA patch angioplasty (bovine pericardium); A30-002 - right iliac artery rupture &amp; dissection of right superficial femoral artery </w:t>
            </w:r>
          </w:p>
          <w:p w14:paraId="1C99EA3B" w14:textId="183DF54A" w:rsidR="00461729" w:rsidRPr="00576CD2" w:rsidRDefault="00461729" w:rsidP="006705FB">
            <w:pPr>
              <w:spacing w:after="0" w:line="240" w:lineRule="auto"/>
              <w:textAlignment w:val="baseline"/>
              <w:rPr>
                <w:rFonts w:eastAsia="Times New Roman" w:cstheme="minorHAnsi"/>
                <w:sz w:val="20"/>
                <w:szCs w:val="20"/>
              </w:rPr>
            </w:pPr>
            <w:r w:rsidRPr="00576CD2">
              <w:rPr>
                <w:rFonts w:eastAsiaTheme="minorEastAsia" w:cstheme="minorHAnsi"/>
                <w:sz w:val="20"/>
                <w:szCs w:val="20"/>
                <w:vertAlign w:val="superscript"/>
              </w:rPr>
              <w:t>a</w:t>
            </w:r>
            <w:r w:rsidRPr="00576CD2">
              <w:rPr>
                <w:rFonts w:eastAsiaTheme="minorEastAsia" w:cstheme="minorHAnsi"/>
                <w:sz w:val="20"/>
                <w:szCs w:val="20"/>
              </w:rPr>
              <w:t>A22-009 returned for follow-up since the last reporting period (See S</w:t>
            </w:r>
            <w:r w:rsidRPr="00576CD2">
              <w:rPr>
                <w:rFonts w:eastAsiaTheme="minorEastAsia"/>
                <w:sz w:val="20"/>
                <w:szCs w:val="20"/>
              </w:rPr>
              <w:t>SED</w:t>
            </w:r>
            <w:r w:rsidRPr="00576CD2">
              <w:rPr>
                <w:rFonts w:eastAsiaTheme="minorEastAsia" w:cstheme="minorHAnsi"/>
                <w:sz w:val="20"/>
                <w:szCs w:val="20"/>
              </w:rPr>
              <w:t xml:space="preserve"> Data Snapshot/Lock Date of 7 Dec 2020)</w:t>
            </w:r>
          </w:p>
        </w:tc>
      </w:tr>
      <w:tr w:rsidR="00576CD2" w:rsidRPr="00576CD2" w14:paraId="4A8BDC49" w14:textId="77777777" w:rsidTr="00AC4ED8">
        <w:tc>
          <w:tcPr>
            <w:tcW w:w="5000" w:type="pct"/>
            <w:gridSpan w:val="9"/>
            <w:tcBorders>
              <w:top w:val="nil"/>
              <w:left w:val="nil"/>
              <w:bottom w:val="nil"/>
              <w:right w:val="nil"/>
            </w:tcBorders>
            <w:shd w:val="clear" w:color="auto" w:fill="FFFFFF" w:themeFill="background1"/>
          </w:tcPr>
          <w:p w14:paraId="01C4BA39" w14:textId="5CF90BC9" w:rsidR="00461729" w:rsidRPr="00576CD2" w:rsidRDefault="00461729" w:rsidP="006705FB">
            <w:pPr>
              <w:pStyle w:val="Default"/>
              <w:ind w:right="84"/>
              <w:rPr>
                <w:rFonts w:asciiTheme="minorHAnsi" w:hAnsiTheme="minorHAnsi" w:cstheme="minorBidi"/>
                <w:color w:val="auto"/>
                <w:sz w:val="20"/>
                <w:szCs w:val="20"/>
              </w:rPr>
            </w:pPr>
            <w:r w:rsidRPr="00576CD2">
              <w:rPr>
                <w:rFonts w:eastAsia="Times New Roman" w:cstheme="minorHAnsi"/>
                <w:color w:val="auto"/>
                <w:sz w:val="20"/>
                <w:szCs w:val="20"/>
                <w:vertAlign w:val="superscript"/>
              </w:rPr>
              <w:t>‡</w:t>
            </w:r>
            <w:r w:rsidRPr="00576CD2">
              <w:rPr>
                <w:rFonts w:asciiTheme="minorHAnsi" w:hAnsiTheme="minorHAnsi" w:cstheme="minorBidi"/>
                <w:color w:val="auto"/>
                <w:sz w:val="20"/>
                <w:szCs w:val="20"/>
              </w:rPr>
              <w:t xml:space="preserve"> The </w:t>
            </w:r>
            <w:r w:rsidR="002C339C" w:rsidRPr="00576CD2">
              <w:rPr>
                <w:rFonts w:asciiTheme="minorHAnsi" w:hAnsiTheme="minorHAnsi" w:cstheme="minorBidi"/>
                <w:color w:val="auto"/>
                <w:sz w:val="20"/>
                <w:szCs w:val="20"/>
              </w:rPr>
              <w:t xml:space="preserve">aneurysm </w:t>
            </w:r>
            <w:r w:rsidRPr="00576CD2">
              <w:rPr>
                <w:rFonts w:asciiTheme="minorHAnsi" w:hAnsiTheme="minorHAnsi" w:cstheme="minorBidi"/>
                <w:color w:val="auto"/>
                <w:sz w:val="20"/>
                <w:szCs w:val="20"/>
              </w:rPr>
              <w:t xml:space="preserve">expansions noted </w:t>
            </w:r>
            <w:r w:rsidR="002B5939" w:rsidRPr="00576CD2">
              <w:rPr>
                <w:rFonts w:asciiTheme="minorHAnsi" w:hAnsiTheme="minorHAnsi" w:cstheme="minorBidi"/>
                <w:color w:val="auto"/>
                <w:sz w:val="20"/>
                <w:szCs w:val="20"/>
              </w:rPr>
              <w:t xml:space="preserve">were reviewed </w:t>
            </w:r>
            <w:r w:rsidR="00E77BD7" w:rsidRPr="00576CD2">
              <w:rPr>
                <w:rFonts w:asciiTheme="minorHAnsi" w:hAnsiTheme="minorHAnsi" w:cstheme="minorBidi"/>
                <w:color w:val="auto"/>
                <w:sz w:val="20"/>
                <w:szCs w:val="20"/>
              </w:rPr>
              <w:t>for potential contributing factors</w:t>
            </w:r>
            <w:r w:rsidR="00063F69" w:rsidRPr="00576CD2">
              <w:rPr>
                <w:rFonts w:asciiTheme="minorHAnsi" w:hAnsiTheme="minorHAnsi" w:cstheme="minorBidi"/>
                <w:color w:val="auto"/>
                <w:sz w:val="20"/>
                <w:szCs w:val="20"/>
              </w:rPr>
              <w:t xml:space="preserve"> and were</w:t>
            </w:r>
            <w:r w:rsidRPr="00576CD2">
              <w:rPr>
                <w:rFonts w:asciiTheme="minorHAnsi" w:hAnsiTheme="minorHAnsi" w:cstheme="minorBidi"/>
                <w:color w:val="auto"/>
                <w:sz w:val="20"/>
                <w:szCs w:val="20"/>
              </w:rPr>
              <w:t xml:space="preserve"> likely attributable to the following: Type II </w:t>
            </w:r>
            <w:r w:rsidR="009A45AC" w:rsidRPr="00576CD2">
              <w:rPr>
                <w:rFonts w:asciiTheme="minorHAnsi" w:hAnsiTheme="minorHAnsi" w:cstheme="minorBidi"/>
                <w:color w:val="auto"/>
                <w:sz w:val="20"/>
                <w:szCs w:val="20"/>
              </w:rPr>
              <w:t>e</w:t>
            </w:r>
            <w:r w:rsidRPr="00576CD2">
              <w:rPr>
                <w:rFonts w:asciiTheme="minorHAnsi" w:hAnsiTheme="minorHAnsi" w:cstheme="minorBidi"/>
                <w:color w:val="auto"/>
                <w:sz w:val="20"/>
                <w:szCs w:val="20"/>
              </w:rPr>
              <w:t>ndoleaks (5 subjects), aneurysm degeneration</w:t>
            </w:r>
            <w:r w:rsidRPr="00576CD2" w:rsidDel="0063151E">
              <w:rPr>
                <w:rFonts w:asciiTheme="minorHAnsi" w:hAnsiTheme="minorHAnsi" w:cstheme="minorBidi"/>
                <w:color w:val="auto"/>
                <w:sz w:val="20"/>
                <w:szCs w:val="20"/>
              </w:rPr>
              <w:t xml:space="preserve"> (1 subject), </w:t>
            </w:r>
            <w:r w:rsidRPr="00576CD2">
              <w:rPr>
                <w:rFonts w:asciiTheme="minorHAnsi" w:hAnsiTheme="minorHAnsi" w:cstheme="minorBidi"/>
                <w:color w:val="auto"/>
                <w:sz w:val="20"/>
                <w:szCs w:val="20"/>
              </w:rPr>
              <w:t xml:space="preserve">Type I </w:t>
            </w:r>
            <w:r w:rsidR="009A45AC" w:rsidRPr="00576CD2">
              <w:rPr>
                <w:rFonts w:asciiTheme="minorHAnsi" w:hAnsiTheme="minorHAnsi" w:cstheme="minorBidi"/>
                <w:color w:val="auto"/>
                <w:sz w:val="20"/>
                <w:szCs w:val="20"/>
              </w:rPr>
              <w:t>e</w:t>
            </w:r>
            <w:r w:rsidRPr="00576CD2">
              <w:rPr>
                <w:rFonts w:asciiTheme="minorHAnsi" w:hAnsiTheme="minorHAnsi" w:cstheme="minorBidi"/>
                <w:color w:val="auto"/>
                <w:sz w:val="20"/>
                <w:szCs w:val="20"/>
              </w:rPr>
              <w:t>ndoleak (3 subjects), and migration &amp; Type Ib endoleak (1 subject).  In four subjects, no discernable cause for the expansion was able to be identified.</w:t>
            </w:r>
          </w:p>
          <w:p w14:paraId="7979A3BF" w14:textId="77777777" w:rsidR="00461729" w:rsidRPr="00576CD2" w:rsidRDefault="00461729" w:rsidP="006705FB">
            <w:pPr>
              <w:spacing w:after="0" w:line="240" w:lineRule="auto"/>
              <w:textAlignment w:val="baseline"/>
              <w:rPr>
                <w:rFonts w:eastAsia="Times New Roman" w:cstheme="minorHAnsi"/>
                <w:sz w:val="20"/>
                <w:szCs w:val="20"/>
              </w:rPr>
            </w:pPr>
          </w:p>
        </w:tc>
      </w:tr>
    </w:tbl>
    <w:p w14:paraId="67CD3963" w14:textId="77777777" w:rsidR="00AC4ED8" w:rsidRPr="00576CD2" w:rsidRDefault="00AC4ED8" w:rsidP="00AC4ED8">
      <w:pPr>
        <w:spacing w:after="0"/>
      </w:pPr>
    </w:p>
    <w:tbl>
      <w:tblPr>
        <w:tblW w:w="4998" w:type="pct"/>
        <w:jc w:val="center"/>
        <w:tblLayout w:type="fixed"/>
        <w:tblCellMar>
          <w:left w:w="0" w:type="dxa"/>
          <w:right w:w="0" w:type="dxa"/>
        </w:tblCellMar>
        <w:tblLook w:val="04A0" w:firstRow="1" w:lastRow="0" w:firstColumn="1" w:lastColumn="0" w:noHBand="0" w:noVBand="1"/>
      </w:tblPr>
      <w:tblGrid>
        <w:gridCol w:w="2413"/>
        <w:gridCol w:w="848"/>
        <w:gridCol w:w="849"/>
        <w:gridCol w:w="849"/>
        <w:gridCol w:w="849"/>
        <w:gridCol w:w="849"/>
        <w:gridCol w:w="849"/>
        <w:gridCol w:w="849"/>
        <w:gridCol w:w="918"/>
        <w:gridCol w:w="75"/>
      </w:tblGrid>
      <w:tr w:rsidR="00576CD2" w:rsidRPr="00576CD2" w14:paraId="50B37125" w14:textId="62434941" w:rsidTr="00AC4ED8">
        <w:trPr>
          <w:gridAfter w:val="1"/>
          <w:wAfter w:w="41" w:type="pct"/>
          <w:cantSplit/>
          <w:tblHeader/>
          <w:jc w:val="center"/>
        </w:trPr>
        <w:tc>
          <w:tcPr>
            <w:tcW w:w="4468" w:type="pct"/>
            <w:gridSpan w:val="8"/>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1B9F7E0D" w14:textId="5B43FB89" w:rsidR="00EE2C77" w:rsidRPr="00576CD2" w:rsidRDefault="00EE2C77" w:rsidP="006464D7">
            <w:pPr>
              <w:keepNext/>
              <w:adjustRightInd w:val="0"/>
              <w:spacing w:after="0" w:line="240" w:lineRule="auto"/>
              <w:rPr>
                <w:rFonts w:cstheme="minorHAnsi"/>
                <w:b/>
                <w:bCs/>
                <w:sz w:val="20"/>
                <w:szCs w:val="20"/>
              </w:rPr>
            </w:pPr>
            <w:bookmarkStart w:id="1" w:name="IDX"/>
            <w:bookmarkStart w:id="2" w:name="_Ref112945381"/>
            <w:bookmarkEnd w:id="1"/>
            <w:r w:rsidRPr="00576CD2">
              <w:rPr>
                <w:b/>
                <w:bCs/>
                <w:sz w:val="20"/>
                <w:szCs w:val="20"/>
              </w:rPr>
              <w:t xml:space="preserve">Table </w:t>
            </w:r>
            <w:r w:rsidRPr="00576CD2">
              <w:rPr>
                <w:b/>
                <w:bCs/>
                <w:sz w:val="20"/>
                <w:szCs w:val="20"/>
              </w:rPr>
              <w:fldChar w:fldCharType="begin"/>
            </w:r>
            <w:r w:rsidRPr="00576CD2">
              <w:rPr>
                <w:b/>
                <w:bCs/>
                <w:sz w:val="20"/>
                <w:szCs w:val="20"/>
              </w:rPr>
              <w:instrText xml:space="preserve"> SEQ Table \* ARABIC </w:instrText>
            </w:r>
            <w:r w:rsidRPr="00576CD2">
              <w:rPr>
                <w:b/>
                <w:bCs/>
                <w:sz w:val="20"/>
                <w:szCs w:val="20"/>
              </w:rPr>
              <w:fldChar w:fldCharType="separate"/>
            </w:r>
            <w:r w:rsidR="007A0BFD">
              <w:rPr>
                <w:b/>
                <w:bCs/>
                <w:noProof/>
                <w:sz w:val="20"/>
                <w:szCs w:val="20"/>
              </w:rPr>
              <w:t>2</w:t>
            </w:r>
            <w:r w:rsidRPr="00576CD2">
              <w:rPr>
                <w:b/>
                <w:bCs/>
                <w:sz w:val="20"/>
                <w:szCs w:val="20"/>
              </w:rPr>
              <w:fldChar w:fldCharType="end"/>
            </w:r>
            <w:bookmarkEnd w:id="2"/>
            <w:r w:rsidRPr="00576CD2">
              <w:rPr>
                <w:rFonts w:cstheme="minorHAnsi"/>
                <w:b/>
                <w:bCs/>
                <w:sz w:val="20"/>
                <w:szCs w:val="20"/>
              </w:rPr>
              <w:t>: IDE Study Data (Continued Access)</w:t>
            </w:r>
          </w:p>
        </w:tc>
        <w:tc>
          <w:tcPr>
            <w:tcW w:w="491"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Pr>
          <w:p w14:paraId="4A5E325E" w14:textId="77777777" w:rsidR="00EE2C77" w:rsidRPr="00576CD2" w:rsidRDefault="00EE2C77" w:rsidP="006464D7">
            <w:pPr>
              <w:keepNext/>
              <w:adjustRightInd w:val="0"/>
              <w:spacing w:after="0" w:line="240" w:lineRule="auto"/>
              <w:rPr>
                <w:b/>
                <w:bCs/>
                <w:sz w:val="20"/>
                <w:szCs w:val="20"/>
              </w:rPr>
            </w:pPr>
          </w:p>
        </w:tc>
      </w:tr>
      <w:tr w:rsidR="00576CD2" w:rsidRPr="00576CD2" w14:paraId="65C2CAA5" w14:textId="40F1DAA0" w:rsidTr="00AC4ED8">
        <w:trPr>
          <w:gridAfter w:val="1"/>
          <w:wAfter w:w="41" w:type="pct"/>
          <w:cantSplit/>
          <w:tblHeader/>
          <w:jc w:val="center"/>
        </w:trPr>
        <w:tc>
          <w:tcPr>
            <w:tcW w:w="1291"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hideMark/>
          </w:tcPr>
          <w:p w14:paraId="486AB610"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Secondary Effectiveness Endpoints</w:t>
            </w:r>
          </w:p>
        </w:tc>
        <w:tc>
          <w:tcPr>
            <w:tcW w:w="454"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bottom"/>
            <w:hideMark/>
          </w:tcPr>
          <w:p w14:paraId="40D76106"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30 Days</w:t>
            </w:r>
            <w:r w:rsidRPr="00576CD2">
              <w:rPr>
                <w:rFonts w:cstheme="minorHAnsi"/>
                <w:b/>
                <w:bCs/>
                <w:sz w:val="20"/>
                <w:szCs w:val="20"/>
              </w:rPr>
              <w:br/>
              <w:t>(Day 0-90)</w:t>
            </w:r>
          </w:p>
        </w:tc>
        <w:tc>
          <w:tcPr>
            <w:tcW w:w="454"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bottom"/>
            <w:hideMark/>
          </w:tcPr>
          <w:p w14:paraId="21B1FB86"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6 Months</w:t>
            </w:r>
            <w:r w:rsidRPr="00576CD2">
              <w:rPr>
                <w:rFonts w:cstheme="minorHAnsi"/>
                <w:b/>
                <w:bCs/>
                <w:sz w:val="20"/>
                <w:szCs w:val="20"/>
              </w:rPr>
              <w:br/>
              <w:t>(Day 91-270)</w:t>
            </w:r>
          </w:p>
        </w:tc>
        <w:tc>
          <w:tcPr>
            <w:tcW w:w="454"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bottom"/>
            <w:hideMark/>
          </w:tcPr>
          <w:p w14:paraId="440AFD13"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1 Year</w:t>
            </w:r>
            <w:r w:rsidRPr="00576CD2">
              <w:rPr>
                <w:rFonts w:cstheme="minorHAnsi"/>
                <w:b/>
                <w:bCs/>
                <w:sz w:val="20"/>
                <w:szCs w:val="20"/>
              </w:rPr>
              <w:br/>
              <w:t>(Day 271-540)</w:t>
            </w:r>
          </w:p>
        </w:tc>
        <w:tc>
          <w:tcPr>
            <w:tcW w:w="454"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bottom"/>
            <w:hideMark/>
          </w:tcPr>
          <w:p w14:paraId="749BA0FC"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2 Years</w:t>
            </w:r>
            <w:r w:rsidRPr="00576CD2">
              <w:rPr>
                <w:rFonts w:cstheme="minorHAnsi"/>
                <w:b/>
                <w:bCs/>
                <w:sz w:val="20"/>
                <w:szCs w:val="20"/>
              </w:rPr>
              <w:br/>
              <w:t>(Day 541-900)</w:t>
            </w:r>
          </w:p>
        </w:tc>
        <w:tc>
          <w:tcPr>
            <w:tcW w:w="454"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bottom"/>
            <w:hideMark/>
          </w:tcPr>
          <w:p w14:paraId="117BD0A5"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3 Years</w:t>
            </w:r>
            <w:r w:rsidRPr="00576CD2">
              <w:rPr>
                <w:rFonts w:cstheme="minorHAnsi"/>
                <w:b/>
                <w:bCs/>
                <w:sz w:val="20"/>
                <w:szCs w:val="20"/>
              </w:rPr>
              <w:br/>
              <w:t>(Day 901-1260)</w:t>
            </w:r>
          </w:p>
        </w:tc>
        <w:tc>
          <w:tcPr>
            <w:tcW w:w="453"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bottom"/>
            <w:hideMark/>
          </w:tcPr>
          <w:p w14:paraId="56000F66"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4 Years</w:t>
            </w:r>
            <w:r w:rsidRPr="00576CD2">
              <w:rPr>
                <w:rFonts w:cstheme="minorHAnsi"/>
                <w:b/>
                <w:bCs/>
                <w:sz w:val="20"/>
                <w:szCs w:val="20"/>
              </w:rPr>
              <w:br/>
              <w:t>(Day 1261-1620)</w:t>
            </w:r>
          </w:p>
        </w:tc>
        <w:tc>
          <w:tcPr>
            <w:tcW w:w="454"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bottom"/>
            <w:hideMark/>
          </w:tcPr>
          <w:p w14:paraId="5B5BA481" w14:textId="77777777"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5 Years</w:t>
            </w:r>
            <w:r w:rsidRPr="00576CD2">
              <w:rPr>
                <w:rFonts w:cstheme="minorHAnsi"/>
                <w:b/>
                <w:bCs/>
                <w:sz w:val="20"/>
                <w:szCs w:val="20"/>
              </w:rPr>
              <w:br/>
              <w:t>(Day 1621-1980)</w:t>
            </w:r>
          </w:p>
        </w:tc>
        <w:tc>
          <w:tcPr>
            <w:tcW w:w="491" w:type="pct"/>
            <w:tcBorders>
              <w:top w:val="single" w:sz="4" w:space="0" w:color="4F493B"/>
              <w:left w:val="single" w:sz="4" w:space="0" w:color="4F493B"/>
              <w:bottom w:val="single" w:sz="2" w:space="0" w:color="4F493B"/>
              <w:right w:val="single" w:sz="2" w:space="0" w:color="4F493B"/>
            </w:tcBorders>
            <w:shd w:val="clear" w:color="auto" w:fill="D9D9D9" w:themeFill="background1" w:themeFillShade="D9"/>
          </w:tcPr>
          <w:p w14:paraId="195D085D" w14:textId="7A154B61" w:rsidR="00EE2C77" w:rsidRPr="00576CD2" w:rsidRDefault="00EE2C77">
            <w:pPr>
              <w:keepNext/>
              <w:adjustRightInd w:val="0"/>
              <w:spacing w:after="0" w:line="240" w:lineRule="auto"/>
              <w:jc w:val="center"/>
              <w:rPr>
                <w:rFonts w:cstheme="minorHAnsi"/>
                <w:b/>
                <w:bCs/>
                <w:sz w:val="20"/>
                <w:szCs w:val="20"/>
              </w:rPr>
            </w:pPr>
            <w:r w:rsidRPr="00576CD2">
              <w:rPr>
                <w:rFonts w:cstheme="minorHAnsi"/>
                <w:b/>
                <w:bCs/>
                <w:sz w:val="20"/>
                <w:szCs w:val="20"/>
              </w:rPr>
              <w:t>Total</w:t>
            </w:r>
          </w:p>
        </w:tc>
      </w:tr>
      <w:tr w:rsidR="00576CD2" w:rsidRPr="00576CD2" w14:paraId="00062CFE" w14:textId="69C657E9"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3CFBF2D4" w14:textId="5797A29F" w:rsidR="00EE2C77" w:rsidRPr="00576CD2" w:rsidRDefault="00EE2C77" w:rsidP="00A839CA">
            <w:pPr>
              <w:adjustRightInd w:val="0"/>
              <w:spacing w:after="0" w:line="240" w:lineRule="auto"/>
              <w:rPr>
                <w:rFonts w:cstheme="minorHAnsi"/>
                <w:sz w:val="20"/>
                <w:szCs w:val="20"/>
              </w:rPr>
            </w:pPr>
            <w:r w:rsidRPr="00576CD2">
              <w:rPr>
                <w:rFonts w:cstheme="minorHAnsi"/>
                <w:sz w:val="20"/>
                <w:szCs w:val="20"/>
              </w:rPr>
              <w:t>Eligible for Follow-up</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289F92F9" w14:textId="6F6A2DF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0CD619C6" w14:textId="0820581C"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0CA78711" w14:textId="3566B9C6"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11F54B41" w14:textId="6821DAD4"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2</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0A54B94F" w14:textId="110D71FB"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F55C41E" w14:textId="4BDA56FE"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4851AA7C" w14:textId="12481994"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79277A28" w14:textId="21BB8D87" w:rsidR="00EE2C77" w:rsidRPr="00576CD2" w:rsidRDefault="00167796" w:rsidP="002A06A3">
            <w:pPr>
              <w:adjustRightInd w:val="0"/>
              <w:spacing w:after="0" w:line="240" w:lineRule="auto"/>
              <w:jc w:val="center"/>
              <w:rPr>
                <w:rFonts w:cstheme="minorHAnsi"/>
                <w:sz w:val="20"/>
                <w:szCs w:val="20"/>
              </w:rPr>
            </w:pPr>
            <w:r w:rsidRPr="00576CD2">
              <w:rPr>
                <w:rFonts w:cstheme="minorHAnsi"/>
                <w:sz w:val="20"/>
                <w:szCs w:val="20"/>
              </w:rPr>
              <w:t>5</w:t>
            </w:r>
          </w:p>
        </w:tc>
      </w:tr>
      <w:tr w:rsidR="00576CD2" w:rsidRPr="00576CD2" w14:paraId="335B6DE0" w14:textId="0FE44107"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3CD726FC" w14:textId="38BAB6E2" w:rsidR="00EE2C77" w:rsidRPr="00576CD2" w:rsidRDefault="00EE2C77" w:rsidP="00A839CA">
            <w:pPr>
              <w:adjustRightInd w:val="0"/>
              <w:spacing w:after="0" w:line="240" w:lineRule="auto"/>
              <w:ind w:left="142"/>
              <w:rPr>
                <w:rFonts w:cstheme="minorHAnsi"/>
                <w:sz w:val="20"/>
                <w:szCs w:val="20"/>
              </w:rPr>
            </w:pPr>
            <w:r w:rsidRPr="00576CD2">
              <w:rPr>
                <w:rFonts w:cstheme="minorHAnsi"/>
                <w:sz w:val="20"/>
                <w:szCs w:val="20"/>
              </w:rPr>
              <w:t>Subjects with visit data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24FF7581" w14:textId="730A0B4B"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74B952D" w14:textId="636035DA"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29A6CBD8" w14:textId="7CFEE4E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EE6F7E7" w14:textId="59A063A8"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DC16255" w14:textId="791C1A0A"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EE65C2C" w14:textId="461FF50F"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66B0994" w14:textId="53090B01"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429F59F2" w14:textId="346CD53F" w:rsidR="00EE2C77" w:rsidRPr="00576CD2" w:rsidRDefault="00D72915" w:rsidP="002A06A3">
            <w:pPr>
              <w:adjustRightInd w:val="0"/>
              <w:spacing w:after="0" w:line="240" w:lineRule="auto"/>
              <w:jc w:val="center"/>
              <w:rPr>
                <w:rFonts w:cstheme="minorHAnsi"/>
                <w:sz w:val="20"/>
                <w:szCs w:val="20"/>
              </w:rPr>
            </w:pPr>
            <w:r w:rsidRPr="00576CD2">
              <w:rPr>
                <w:rFonts w:cstheme="minorHAnsi"/>
                <w:sz w:val="20"/>
                <w:szCs w:val="20"/>
              </w:rPr>
              <w:t>5</w:t>
            </w:r>
          </w:p>
        </w:tc>
      </w:tr>
      <w:tr w:rsidR="00576CD2" w:rsidRPr="00576CD2" w14:paraId="388B8739" w14:textId="03DC1C63"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1DD740C9" w14:textId="76EC562F" w:rsidR="00EE2C77" w:rsidRPr="00576CD2" w:rsidRDefault="00EE2C77" w:rsidP="00A839CA">
            <w:pPr>
              <w:adjustRightInd w:val="0"/>
              <w:spacing w:after="0" w:line="240" w:lineRule="auto"/>
              <w:ind w:left="322"/>
              <w:rPr>
                <w:rFonts w:cstheme="minorHAnsi"/>
                <w:sz w:val="20"/>
                <w:szCs w:val="20"/>
              </w:rPr>
            </w:pPr>
            <w:r w:rsidRPr="00576CD2">
              <w:rPr>
                <w:rFonts w:cstheme="minorHAnsi"/>
                <w:sz w:val="20"/>
                <w:szCs w:val="20"/>
              </w:rPr>
              <w:t>Subjects with Imaging data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5DD10EB" w14:textId="3670B713"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CDF0686" w14:textId="1D2C1B76"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430A25E3" w14:textId="3C4ECB7A"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2</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75C3BD2" w14:textId="35E0D9AB"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286FD6A2" w14:textId="0E0B4081"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589DBB1" w14:textId="60B63DFF"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4BE0325" w14:textId="4A755520"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2E39C4A7" w14:textId="32C50483" w:rsidR="00EE2C77" w:rsidRPr="00576CD2" w:rsidRDefault="00D72915" w:rsidP="002A06A3">
            <w:pPr>
              <w:adjustRightInd w:val="0"/>
              <w:spacing w:after="0" w:line="240" w:lineRule="auto"/>
              <w:jc w:val="center"/>
              <w:rPr>
                <w:rFonts w:cstheme="minorHAnsi"/>
                <w:sz w:val="20"/>
                <w:szCs w:val="20"/>
              </w:rPr>
            </w:pPr>
            <w:r w:rsidRPr="00576CD2">
              <w:rPr>
                <w:rFonts w:cstheme="minorHAnsi"/>
                <w:sz w:val="20"/>
                <w:szCs w:val="20"/>
              </w:rPr>
              <w:t>5</w:t>
            </w:r>
          </w:p>
        </w:tc>
      </w:tr>
      <w:tr w:rsidR="00576CD2" w:rsidRPr="00576CD2" w14:paraId="39F56CEA" w14:textId="48B4A7F8"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2A3669B0" w14:textId="34EFD279" w:rsidR="00EE2C77" w:rsidRPr="00576CD2" w:rsidRDefault="00EE2C77" w:rsidP="00590402">
            <w:pPr>
              <w:adjustRightInd w:val="0"/>
              <w:spacing w:after="0" w:line="240" w:lineRule="auto"/>
              <w:rPr>
                <w:rFonts w:cstheme="minorHAnsi"/>
                <w:b/>
                <w:bCs/>
                <w:sz w:val="20"/>
                <w:szCs w:val="20"/>
              </w:rPr>
            </w:pPr>
            <w:r w:rsidRPr="00576CD2">
              <w:rPr>
                <w:rFonts w:cstheme="minorHAnsi"/>
                <w:b/>
                <w:bCs/>
                <w:sz w:val="20"/>
                <w:szCs w:val="20"/>
              </w:rPr>
              <w:t>Events</w:t>
            </w:r>
          </w:p>
        </w:tc>
        <w:tc>
          <w:tcPr>
            <w:tcW w:w="454"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04815856" w14:textId="77777777" w:rsidR="00EE2C77" w:rsidRPr="00576CD2" w:rsidRDefault="00EE2C77">
            <w:pPr>
              <w:adjustRightInd w:val="0"/>
              <w:spacing w:after="0" w:line="240" w:lineRule="auto"/>
              <w:jc w:val="center"/>
              <w:rPr>
                <w:rFonts w:cstheme="minorHAnsi"/>
                <w:b/>
                <w:bCs/>
                <w:sz w:val="20"/>
                <w:szCs w:val="20"/>
              </w:rPr>
            </w:pPr>
          </w:p>
        </w:tc>
        <w:tc>
          <w:tcPr>
            <w:tcW w:w="454"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71269516" w14:textId="77777777" w:rsidR="00EE2C77" w:rsidRPr="00576CD2" w:rsidRDefault="00EE2C77">
            <w:pPr>
              <w:adjustRightInd w:val="0"/>
              <w:spacing w:after="0" w:line="240" w:lineRule="auto"/>
              <w:jc w:val="center"/>
              <w:rPr>
                <w:rFonts w:cstheme="minorHAnsi"/>
                <w:b/>
                <w:bCs/>
                <w:sz w:val="20"/>
                <w:szCs w:val="20"/>
              </w:rPr>
            </w:pPr>
          </w:p>
        </w:tc>
        <w:tc>
          <w:tcPr>
            <w:tcW w:w="454"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70324F85" w14:textId="77777777" w:rsidR="00EE2C77" w:rsidRPr="00576CD2" w:rsidRDefault="00EE2C77">
            <w:pPr>
              <w:adjustRightInd w:val="0"/>
              <w:spacing w:after="0" w:line="240" w:lineRule="auto"/>
              <w:jc w:val="center"/>
              <w:rPr>
                <w:rFonts w:cstheme="minorHAnsi"/>
                <w:b/>
                <w:bCs/>
                <w:sz w:val="20"/>
                <w:szCs w:val="20"/>
              </w:rPr>
            </w:pPr>
          </w:p>
        </w:tc>
        <w:tc>
          <w:tcPr>
            <w:tcW w:w="454"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55219C1F" w14:textId="77777777" w:rsidR="00EE2C77" w:rsidRPr="00576CD2" w:rsidRDefault="00EE2C77">
            <w:pPr>
              <w:adjustRightInd w:val="0"/>
              <w:spacing w:after="0" w:line="240" w:lineRule="auto"/>
              <w:jc w:val="center"/>
              <w:rPr>
                <w:rFonts w:cstheme="minorHAnsi"/>
                <w:b/>
                <w:bCs/>
                <w:sz w:val="20"/>
                <w:szCs w:val="20"/>
              </w:rPr>
            </w:pPr>
          </w:p>
        </w:tc>
        <w:tc>
          <w:tcPr>
            <w:tcW w:w="454"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056F4661" w14:textId="77777777" w:rsidR="00EE2C77" w:rsidRPr="00576CD2" w:rsidRDefault="00EE2C77">
            <w:pPr>
              <w:adjustRightInd w:val="0"/>
              <w:spacing w:after="0" w:line="240" w:lineRule="auto"/>
              <w:jc w:val="center"/>
              <w:rPr>
                <w:rFonts w:cstheme="minorHAnsi"/>
                <w:b/>
                <w:bCs/>
                <w:sz w:val="20"/>
                <w:szCs w:val="20"/>
              </w:rPr>
            </w:pPr>
          </w:p>
        </w:tc>
        <w:tc>
          <w:tcPr>
            <w:tcW w:w="454"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18EBA70C" w14:textId="77777777" w:rsidR="00EE2C77" w:rsidRPr="00576CD2" w:rsidRDefault="00EE2C77">
            <w:pPr>
              <w:adjustRightInd w:val="0"/>
              <w:spacing w:after="0" w:line="240" w:lineRule="auto"/>
              <w:jc w:val="center"/>
              <w:rPr>
                <w:rFonts w:cstheme="minorHAnsi"/>
                <w:b/>
                <w:bCs/>
                <w:sz w:val="20"/>
                <w:szCs w:val="20"/>
              </w:rPr>
            </w:pPr>
          </w:p>
        </w:tc>
        <w:tc>
          <w:tcPr>
            <w:tcW w:w="454" w:type="pct"/>
            <w:tcBorders>
              <w:top w:val="nil"/>
              <w:left w:val="single" w:sz="4" w:space="0" w:color="4F493B"/>
              <w:bottom w:val="single" w:sz="2" w:space="0" w:color="4F493B"/>
              <w:right w:val="single" w:sz="2" w:space="0" w:color="4F493B"/>
            </w:tcBorders>
            <w:shd w:val="clear" w:color="auto" w:fill="D9D9D9" w:themeFill="background1" w:themeFillShade="D9"/>
            <w:tcMar>
              <w:top w:w="0" w:type="dxa"/>
              <w:left w:w="29" w:type="dxa"/>
              <w:bottom w:w="0" w:type="dxa"/>
              <w:right w:w="29" w:type="dxa"/>
            </w:tcMar>
            <w:vAlign w:val="center"/>
          </w:tcPr>
          <w:p w14:paraId="2374267E" w14:textId="77777777" w:rsidR="00EE2C77" w:rsidRPr="00576CD2" w:rsidRDefault="00EE2C77">
            <w:pPr>
              <w:adjustRightInd w:val="0"/>
              <w:spacing w:after="0" w:line="240" w:lineRule="auto"/>
              <w:jc w:val="center"/>
              <w:rPr>
                <w:rFonts w:cstheme="minorHAnsi"/>
                <w:b/>
                <w:bCs/>
                <w:sz w:val="20"/>
                <w:szCs w:val="20"/>
              </w:rPr>
            </w:pPr>
          </w:p>
        </w:tc>
        <w:tc>
          <w:tcPr>
            <w:tcW w:w="491" w:type="pct"/>
            <w:tcBorders>
              <w:top w:val="nil"/>
              <w:left w:val="single" w:sz="4" w:space="0" w:color="4F493B"/>
              <w:bottom w:val="single" w:sz="2" w:space="0" w:color="4F493B"/>
              <w:right w:val="single" w:sz="2" w:space="0" w:color="4F493B"/>
            </w:tcBorders>
            <w:shd w:val="clear" w:color="auto" w:fill="D9D9D9" w:themeFill="background1" w:themeFillShade="D9"/>
            <w:vAlign w:val="center"/>
          </w:tcPr>
          <w:p w14:paraId="559CAEDB" w14:textId="77777777" w:rsidR="00EE2C77" w:rsidRPr="00576CD2" w:rsidRDefault="00EE2C77" w:rsidP="002A06A3">
            <w:pPr>
              <w:adjustRightInd w:val="0"/>
              <w:spacing w:after="0" w:line="240" w:lineRule="auto"/>
              <w:jc w:val="center"/>
              <w:rPr>
                <w:rFonts w:cstheme="minorHAnsi"/>
                <w:b/>
                <w:bCs/>
                <w:sz w:val="20"/>
                <w:szCs w:val="20"/>
              </w:rPr>
            </w:pPr>
          </w:p>
        </w:tc>
      </w:tr>
      <w:tr w:rsidR="00576CD2" w:rsidRPr="00576CD2" w14:paraId="170BF406" w14:textId="4A980E11"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CE4F75A" w14:textId="77777777" w:rsidR="00EE2C77" w:rsidRPr="00576CD2" w:rsidRDefault="00EE2C77" w:rsidP="00590402">
            <w:pPr>
              <w:adjustRightInd w:val="0"/>
              <w:spacing w:after="0" w:line="240" w:lineRule="auto"/>
              <w:ind w:left="142"/>
              <w:rPr>
                <w:rFonts w:cstheme="minorHAnsi"/>
                <w:sz w:val="20"/>
                <w:szCs w:val="20"/>
              </w:rPr>
            </w:pPr>
            <w:r w:rsidRPr="00576CD2">
              <w:rPr>
                <w:rFonts w:cstheme="minorHAnsi"/>
                <w:sz w:val="20"/>
                <w:szCs w:val="20"/>
              </w:rPr>
              <w:t>Intervention-Free Technical Success</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6F2289C" w14:textId="7777777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100.0% (5/5)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30CDEAF" w14:textId="7777777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FC7BCB5" w14:textId="7777777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C9F637E" w14:textId="7777777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9B8964A" w14:textId="7777777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96A7398" w14:textId="7777777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3E1587A" w14:textId="77777777"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46607186" w14:textId="2EC67F39" w:rsidR="00EE2C77" w:rsidRPr="00576CD2" w:rsidRDefault="0021362C" w:rsidP="002A06A3">
            <w:pPr>
              <w:adjustRightInd w:val="0"/>
              <w:spacing w:after="0" w:line="240" w:lineRule="auto"/>
              <w:jc w:val="center"/>
              <w:rPr>
                <w:rFonts w:cstheme="minorHAnsi"/>
                <w:sz w:val="20"/>
                <w:szCs w:val="20"/>
              </w:rPr>
            </w:pPr>
            <w:r w:rsidRPr="00576CD2">
              <w:rPr>
                <w:rFonts w:cstheme="minorHAnsi"/>
                <w:sz w:val="20"/>
                <w:szCs w:val="20"/>
              </w:rPr>
              <w:t>5</w:t>
            </w:r>
          </w:p>
        </w:tc>
      </w:tr>
      <w:tr w:rsidR="00576CD2" w:rsidRPr="00576CD2" w14:paraId="7A73279D" w14:textId="3082EB5E"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09D4A65" w14:textId="77777777" w:rsidR="0018109B" w:rsidRPr="00576CD2" w:rsidRDefault="0018109B" w:rsidP="0018109B">
            <w:pPr>
              <w:adjustRightInd w:val="0"/>
              <w:spacing w:after="0" w:line="240" w:lineRule="auto"/>
              <w:ind w:left="142"/>
              <w:rPr>
                <w:rFonts w:cstheme="minorHAnsi"/>
                <w:sz w:val="20"/>
                <w:szCs w:val="20"/>
              </w:rPr>
            </w:pPr>
            <w:r w:rsidRPr="00576CD2">
              <w:rPr>
                <w:rFonts w:cstheme="minorHAnsi"/>
                <w:sz w:val="20"/>
                <w:szCs w:val="20"/>
              </w:rPr>
              <w:t>All-cause mortality</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A1E9A02"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6D3BD1B7" w14:textId="6FB6927C"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AE94F32"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20.0% (1/5)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38FF26D"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50.0% (2/4)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AA57BD5"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4542174" w14:textId="06197B8D"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100F88A"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3A944186" w14:textId="70AA5161"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1CCF3465" w14:textId="7C8F03BB"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64A2781C" w14:textId="622F7B82"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4A623266" w14:textId="738AA9CE" w:rsidR="0018109B" w:rsidRPr="00576CD2" w:rsidRDefault="0018109B" w:rsidP="00E90924">
            <w:pPr>
              <w:adjustRightInd w:val="0"/>
              <w:spacing w:after="0" w:line="240" w:lineRule="auto"/>
              <w:jc w:val="center"/>
              <w:rPr>
                <w:rFonts w:cstheme="minorHAnsi"/>
                <w:sz w:val="20"/>
                <w:szCs w:val="20"/>
              </w:rPr>
            </w:pPr>
            <w:r w:rsidRPr="00576CD2">
              <w:rPr>
                <w:rFonts w:cstheme="minorHAnsi"/>
                <w:sz w:val="20"/>
                <w:szCs w:val="20"/>
              </w:rPr>
              <w:t>0.0%</w:t>
            </w:r>
          </w:p>
          <w:p w14:paraId="47E6C07C" w14:textId="5B56C709" w:rsidR="0018109B" w:rsidRPr="00576CD2" w:rsidRDefault="0018109B" w:rsidP="00712D4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298C422D" w14:textId="264C0B51" w:rsidR="0018109B" w:rsidRPr="00576CD2" w:rsidRDefault="00127A53" w:rsidP="0018109B">
            <w:pPr>
              <w:adjustRightInd w:val="0"/>
              <w:spacing w:after="0" w:line="240" w:lineRule="auto"/>
              <w:jc w:val="center"/>
              <w:rPr>
                <w:rFonts w:cstheme="minorHAnsi"/>
                <w:sz w:val="20"/>
                <w:szCs w:val="20"/>
              </w:rPr>
            </w:pPr>
            <w:r w:rsidRPr="00576CD2">
              <w:rPr>
                <w:rFonts w:cstheme="minorHAnsi"/>
                <w:sz w:val="20"/>
                <w:szCs w:val="20"/>
              </w:rPr>
              <w:t>3</w:t>
            </w:r>
          </w:p>
        </w:tc>
      </w:tr>
      <w:tr w:rsidR="00576CD2" w:rsidRPr="00576CD2" w14:paraId="5093D4BB" w14:textId="062DDBDF"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EC3B8AF" w14:textId="77777777" w:rsidR="0018109B" w:rsidRPr="00576CD2" w:rsidRDefault="0018109B" w:rsidP="0018109B">
            <w:pPr>
              <w:adjustRightInd w:val="0"/>
              <w:spacing w:after="0" w:line="240" w:lineRule="auto"/>
              <w:ind w:left="142"/>
              <w:rPr>
                <w:rFonts w:cstheme="minorHAnsi"/>
                <w:sz w:val="20"/>
                <w:szCs w:val="20"/>
              </w:rPr>
            </w:pPr>
            <w:r w:rsidRPr="00576CD2">
              <w:rPr>
                <w:rFonts w:cstheme="minorHAnsi"/>
                <w:sz w:val="20"/>
                <w:szCs w:val="20"/>
              </w:rPr>
              <w:t>Lesion-related mortality</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0635A14"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2590D4C9" w14:textId="13070BFB"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DDC6523"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403FFA3D" w14:textId="2BC63498"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16FBA1E"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25.0% (1/4)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AAFACE5"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6644076F" w14:textId="598C694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88CED68"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ADE14F3" w14:textId="2D4B9B2E"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D241177" w14:textId="6D90930C"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4D69023" w14:textId="6E6AEDDC"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5506A3E8" w14:textId="702532D5" w:rsidR="0018109B" w:rsidRPr="00576CD2" w:rsidRDefault="0018109B" w:rsidP="00E90924">
            <w:pPr>
              <w:adjustRightInd w:val="0"/>
              <w:spacing w:after="0" w:line="240" w:lineRule="auto"/>
              <w:jc w:val="center"/>
              <w:rPr>
                <w:rFonts w:cstheme="minorHAnsi"/>
                <w:sz w:val="20"/>
                <w:szCs w:val="20"/>
              </w:rPr>
            </w:pPr>
            <w:r w:rsidRPr="00576CD2">
              <w:rPr>
                <w:rFonts w:cstheme="minorHAnsi"/>
                <w:sz w:val="20"/>
                <w:szCs w:val="20"/>
              </w:rPr>
              <w:t>0.0%</w:t>
            </w:r>
          </w:p>
          <w:p w14:paraId="06644ABC" w14:textId="26D8F605" w:rsidR="0018109B" w:rsidRPr="00576CD2" w:rsidRDefault="0018109B" w:rsidP="00712D4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2858BA27" w14:textId="731C7F1B"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1</w:t>
            </w:r>
          </w:p>
        </w:tc>
      </w:tr>
      <w:tr w:rsidR="00576CD2" w:rsidRPr="00576CD2" w14:paraId="7197BF18" w14:textId="6EDA3975"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254D9E2" w14:textId="77777777" w:rsidR="0018109B" w:rsidRPr="00576CD2" w:rsidRDefault="0018109B" w:rsidP="0018109B">
            <w:pPr>
              <w:adjustRightInd w:val="0"/>
              <w:spacing w:after="0" w:line="240" w:lineRule="auto"/>
              <w:ind w:left="142"/>
              <w:rPr>
                <w:rFonts w:cstheme="minorHAnsi"/>
                <w:sz w:val="20"/>
                <w:szCs w:val="20"/>
              </w:rPr>
            </w:pPr>
            <w:r w:rsidRPr="00576CD2">
              <w:rPr>
                <w:rFonts w:cstheme="minorHAnsi"/>
                <w:sz w:val="20"/>
                <w:szCs w:val="20"/>
              </w:rPr>
              <w:t>Rupture</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1F05C5F"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C3785AD" w14:textId="4E83661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639E33A"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90FF7C5" w14:textId="3B20D93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7521A88"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4A103B5" w14:textId="22147ED3"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959832A"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0017E0A5" w14:textId="4088C0CE"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0C8D67E"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2F11BBA9" w14:textId="617C8360"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1B233EC2" w14:textId="437F226C"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6591232" w14:textId="3E78A7A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53646C2A" w14:textId="56896D67" w:rsidR="0018109B" w:rsidRPr="00576CD2" w:rsidRDefault="0018109B" w:rsidP="00E90924">
            <w:pPr>
              <w:adjustRightInd w:val="0"/>
              <w:spacing w:after="0" w:line="240" w:lineRule="auto"/>
              <w:jc w:val="center"/>
              <w:rPr>
                <w:rFonts w:cstheme="minorHAnsi"/>
                <w:sz w:val="20"/>
                <w:szCs w:val="20"/>
              </w:rPr>
            </w:pPr>
            <w:r w:rsidRPr="00576CD2">
              <w:rPr>
                <w:rFonts w:cstheme="minorHAnsi"/>
                <w:sz w:val="20"/>
                <w:szCs w:val="20"/>
              </w:rPr>
              <w:t>0.0%</w:t>
            </w:r>
          </w:p>
          <w:p w14:paraId="321BDA70" w14:textId="416DEFB9" w:rsidR="0018109B" w:rsidRPr="00576CD2" w:rsidRDefault="0018109B" w:rsidP="00712D4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44DB29DA" w14:textId="135D3D58"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5890AA25" w14:textId="4167A62F"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58AF5B3" w14:textId="77777777" w:rsidR="0018109B" w:rsidRPr="00576CD2" w:rsidRDefault="0018109B" w:rsidP="0018109B">
            <w:pPr>
              <w:adjustRightInd w:val="0"/>
              <w:spacing w:after="0" w:line="240" w:lineRule="auto"/>
              <w:ind w:left="142"/>
              <w:rPr>
                <w:rFonts w:cstheme="minorHAnsi"/>
                <w:sz w:val="20"/>
                <w:szCs w:val="20"/>
              </w:rPr>
            </w:pPr>
            <w:r w:rsidRPr="00576CD2">
              <w:rPr>
                <w:rFonts w:cstheme="minorHAnsi"/>
                <w:sz w:val="20"/>
                <w:szCs w:val="20"/>
              </w:rPr>
              <w:t>Migration*</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F00C925"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49F95E8"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7C31403E" w14:textId="25CF168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F86184A"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087A8662" w14:textId="73D07785"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(0/2)</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3C0EE66"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F821AD1" w14:textId="5A09C46A"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0873084"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D4BAD21" w14:textId="33D9405E"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4554FB8D" w14:textId="7DFC9C6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7B3D7F5C" w14:textId="706828B9"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B53FF86" w14:textId="659A677B" w:rsidR="0018109B" w:rsidRPr="00576CD2" w:rsidRDefault="0018109B" w:rsidP="00E90924">
            <w:pPr>
              <w:adjustRightInd w:val="0"/>
              <w:spacing w:after="0" w:line="240" w:lineRule="auto"/>
              <w:jc w:val="center"/>
              <w:rPr>
                <w:rFonts w:cstheme="minorHAnsi"/>
                <w:sz w:val="20"/>
                <w:szCs w:val="20"/>
              </w:rPr>
            </w:pPr>
            <w:r w:rsidRPr="00576CD2">
              <w:rPr>
                <w:rFonts w:cstheme="minorHAnsi"/>
                <w:sz w:val="20"/>
                <w:szCs w:val="20"/>
              </w:rPr>
              <w:t>0.0%</w:t>
            </w:r>
          </w:p>
          <w:p w14:paraId="014BEB5B" w14:textId="24708C17" w:rsidR="0018109B" w:rsidRPr="00576CD2" w:rsidRDefault="0018109B" w:rsidP="00712D4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405F3217" w14:textId="32B9099B"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625C91BE" w14:textId="426697F1"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0DC2E1A" w14:textId="77777777" w:rsidR="0018109B" w:rsidRPr="00576CD2" w:rsidRDefault="0018109B" w:rsidP="0018109B">
            <w:pPr>
              <w:adjustRightInd w:val="0"/>
              <w:spacing w:after="0" w:line="240" w:lineRule="auto"/>
              <w:ind w:left="142"/>
              <w:rPr>
                <w:rFonts w:cstheme="minorHAnsi"/>
                <w:sz w:val="20"/>
                <w:szCs w:val="20"/>
              </w:rPr>
            </w:pPr>
            <w:r w:rsidRPr="00576CD2">
              <w:rPr>
                <w:rFonts w:cstheme="minorHAnsi"/>
                <w:sz w:val="20"/>
                <w:szCs w:val="20"/>
              </w:rPr>
              <w:lastRenderedPageBreak/>
              <w:t>All Endoleaks*</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16A46F6"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9E16686" w14:textId="1D145E1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34848B2"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3726FCAB" w14:textId="4946917D"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2CD1452"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6DB80BBA" w14:textId="765E82CE"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6033698"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48A6D615" w14:textId="5B869B5D"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2D024E8"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436FB2AE" w14:textId="4D5CF92D"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7183D292" w14:textId="682FD562"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2F2688E4" w14:textId="161D42E8"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95E1F77" w14:textId="1F949B10" w:rsidR="0018109B" w:rsidRPr="00576CD2" w:rsidRDefault="0018109B" w:rsidP="00E90924">
            <w:pPr>
              <w:adjustRightInd w:val="0"/>
              <w:spacing w:after="0" w:line="240" w:lineRule="auto"/>
              <w:jc w:val="center"/>
              <w:rPr>
                <w:rFonts w:cstheme="minorHAnsi"/>
                <w:sz w:val="20"/>
                <w:szCs w:val="20"/>
              </w:rPr>
            </w:pPr>
            <w:r w:rsidRPr="00576CD2">
              <w:rPr>
                <w:rFonts w:cstheme="minorHAnsi"/>
                <w:sz w:val="20"/>
                <w:szCs w:val="20"/>
              </w:rPr>
              <w:t>0.0%</w:t>
            </w:r>
          </w:p>
          <w:p w14:paraId="745E57D6" w14:textId="4B81BD46" w:rsidR="0018109B" w:rsidRPr="00576CD2" w:rsidRDefault="0018109B" w:rsidP="00712D4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74DFC4C0" w14:textId="008832C3"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69498644" w14:textId="3B1572A7"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4502089" w14:textId="77777777" w:rsidR="0018109B" w:rsidRPr="00576CD2" w:rsidRDefault="0018109B" w:rsidP="0018109B">
            <w:pPr>
              <w:adjustRightInd w:val="0"/>
              <w:spacing w:after="0" w:line="240" w:lineRule="auto"/>
              <w:ind w:firstLine="720"/>
              <w:rPr>
                <w:rFonts w:cstheme="minorHAnsi"/>
                <w:sz w:val="20"/>
                <w:szCs w:val="20"/>
              </w:rPr>
            </w:pPr>
            <w:r w:rsidRPr="00576CD2">
              <w:rPr>
                <w:rFonts w:cstheme="minorHAnsi"/>
                <w:sz w:val="20"/>
                <w:szCs w:val="20"/>
              </w:rPr>
              <w:t>Type Ia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9507538"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60FCDA92" w14:textId="55312475"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BE163B9"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F59F2B9" w14:textId="771997CC"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17B889D"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8C17B53" w14:textId="30914E7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4D676C3"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1A4EA01" w14:textId="54525011"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1C7D206"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3EB213D0" w14:textId="06248325"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43B4C6A7" w14:textId="280462AD"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0AED82C" w14:textId="631769FE"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0175EE5" w14:textId="3D161A8B" w:rsidR="0018109B" w:rsidRPr="00576CD2" w:rsidRDefault="0018109B" w:rsidP="00E90924">
            <w:pPr>
              <w:adjustRightInd w:val="0"/>
              <w:spacing w:after="0" w:line="240" w:lineRule="auto"/>
              <w:jc w:val="center"/>
              <w:rPr>
                <w:rFonts w:cstheme="minorHAnsi"/>
                <w:sz w:val="20"/>
                <w:szCs w:val="20"/>
              </w:rPr>
            </w:pPr>
            <w:r w:rsidRPr="00576CD2">
              <w:rPr>
                <w:rFonts w:cstheme="minorHAnsi"/>
                <w:sz w:val="20"/>
                <w:szCs w:val="20"/>
              </w:rPr>
              <w:t>0.0%</w:t>
            </w:r>
          </w:p>
          <w:p w14:paraId="5EA7E002" w14:textId="06E83FC9" w:rsidR="0018109B" w:rsidRPr="00576CD2" w:rsidRDefault="0018109B" w:rsidP="00712D4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40DC312E" w14:textId="50E254D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10A49AE1" w14:textId="5B145B9A"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4B0BADD" w14:textId="77777777" w:rsidR="0018109B" w:rsidRPr="00576CD2" w:rsidRDefault="0018109B" w:rsidP="0018109B">
            <w:pPr>
              <w:adjustRightInd w:val="0"/>
              <w:spacing w:after="0" w:line="240" w:lineRule="auto"/>
              <w:ind w:firstLine="720"/>
              <w:rPr>
                <w:rFonts w:cstheme="minorHAnsi"/>
                <w:sz w:val="20"/>
                <w:szCs w:val="20"/>
              </w:rPr>
            </w:pPr>
            <w:r w:rsidRPr="00576CD2">
              <w:rPr>
                <w:rFonts w:cstheme="minorHAnsi"/>
                <w:sz w:val="20"/>
                <w:szCs w:val="20"/>
              </w:rPr>
              <w:t>Type Ib</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AE83B9B"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4AFD9A29" w14:textId="7EADC19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3055E8E"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7E0FE39E" w14:textId="00BB785E"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383C59F"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429C249A" w14:textId="0B34CC06"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7144CEC"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7B34F9B0" w14:textId="629707D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3239B5B"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3A5BDBA9" w14:textId="29D107C3"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6E155BDB" w14:textId="14FEE6D4"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7106ACA5" w14:textId="12705A15"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5A6D44C" w14:textId="7BDAA0A0" w:rsidR="0018109B" w:rsidRPr="00576CD2" w:rsidRDefault="0018109B" w:rsidP="00E90924">
            <w:pPr>
              <w:adjustRightInd w:val="0"/>
              <w:spacing w:after="0" w:line="240" w:lineRule="auto"/>
              <w:jc w:val="center"/>
              <w:rPr>
                <w:rFonts w:cstheme="minorHAnsi"/>
                <w:sz w:val="20"/>
                <w:szCs w:val="20"/>
              </w:rPr>
            </w:pPr>
            <w:r w:rsidRPr="00576CD2">
              <w:rPr>
                <w:rFonts w:cstheme="minorHAnsi"/>
                <w:sz w:val="20"/>
                <w:szCs w:val="20"/>
              </w:rPr>
              <w:t>0.0%</w:t>
            </w:r>
          </w:p>
          <w:p w14:paraId="281A365F" w14:textId="17C201E6" w:rsidR="0018109B" w:rsidRPr="00576CD2" w:rsidRDefault="0018109B" w:rsidP="00712D4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370B1643" w14:textId="0D1CE992"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08CB7F3F" w14:textId="25E6B878"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5D65E57" w14:textId="77777777" w:rsidR="0018109B" w:rsidRPr="00576CD2" w:rsidRDefault="0018109B" w:rsidP="0018109B">
            <w:pPr>
              <w:adjustRightInd w:val="0"/>
              <w:spacing w:after="0" w:line="240" w:lineRule="auto"/>
              <w:ind w:firstLine="720"/>
              <w:rPr>
                <w:rFonts w:cstheme="minorHAnsi"/>
                <w:sz w:val="20"/>
                <w:szCs w:val="20"/>
              </w:rPr>
            </w:pPr>
            <w:r w:rsidRPr="00576CD2">
              <w:rPr>
                <w:rFonts w:cstheme="minorHAnsi"/>
                <w:sz w:val="20"/>
                <w:szCs w:val="20"/>
              </w:rPr>
              <w:t>Type II</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E3B75D3"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BEDF6B6" w14:textId="6A43986D"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B3A697C"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31E8C6B" w14:textId="70092E19"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649507D"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5FDB8B7" w14:textId="7141042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1AEADA8"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01A42824" w14:textId="40D7CBB5"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87FFDE2"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1A49086" w14:textId="180BD1E5"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5E2D5D01" w14:textId="16A041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714914EF" w14:textId="519C2060"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345AB4DA" w14:textId="25C48F2C"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BB4F945" w14:textId="54865866"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1F3F9742" w14:textId="040BD7F8"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26A22DED" w14:textId="082A9AC1"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1DD49B0" w14:textId="77777777" w:rsidR="0018109B" w:rsidRPr="00576CD2" w:rsidRDefault="0018109B" w:rsidP="0018109B">
            <w:pPr>
              <w:adjustRightInd w:val="0"/>
              <w:spacing w:after="0" w:line="240" w:lineRule="auto"/>
              <w:ind w:firstLine="720"/>
              <w:rPr>
                <w:rFonts w:cstheme="minorHAnsi"/>
                <w:sz w:val="20"/>
                <w:szCs w:val="20"/>
              </w:rPr>
            </w:pPr>
            <w:r w:rsidRPr="00576CD2">
              <w:rPr>
                <w:rFonts w:cstheme="minorHAnsi"/>
                <w:sz w:val="20"/>
                <w:szCs w:val="20"/>
              </w:rPr>
              <w:t>Type III</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F35DED2"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2160A873" w14:textId="0A23EC88"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577D25A"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142B1082" w14:textId="7AED8798"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9CB2631"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32515B4" w14:textId="25A1C339"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38B502F"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50BE895C" w14:textId="1548C3C6"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41EF750" w14:textId="7777777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38A868A3" w14:textId="013B89B8"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31172A6A" w14:textId="20C3DBA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2FC3035E" w14:textId="57E45669"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tcPr>
          <w:p w14:paraId="1AB8ACB6" w14:textId="185A7FA0"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 xml:space="preserve">0.0% </w:t>
            </w:r>
          </w:p>
          <w:p w14:paraId="6764F1EE" w14:textId="439BBAE1"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657F8A18" w14:textId="3C337F57" w:rsidR="0018109B" w:rsidRPr="00576CD2" w:rsidRDefault="0018109B" w:rsidP="0018109B">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2B317467" w14:textId="450EB746"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6C8973E" w14:textId="77777777" w:rsidR="00127A53" w:rsidRPr="00576CD2" w:rsidRDefault="00127A53" w:rsidP="00127A53">
            <w:pPr>
              <w:adjustRightInd w:val="0"/>
              <w:spacing w:after="0" w:line="240" w:lineRule="auto"/>
              <w:ind w:firstLine="720"/>
              <w:rPr>
                <w:rFonts w:cstheme="minorHAnsi"/>
                <w:sz w:val="20"/>
                <w:szCs w:val="20"/>
              </w:rPr>
            </w:pPr>
            <w:r w:rsidRPr="00576CD2">
              <w:rPr>
                <w:rFonts w:cstheme="minorHAnsi"/>
                <w:sz w:val="20"/>
                <w:szCs w:val="20"/>
              </w:rPr>
              <w:t>Type IV</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41357FB"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485EFD90" w14:textId="70B1E7B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395D586"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F32678F" w14:textId="60CD6B2F"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66CC6F5"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4BBBC884" w14:textId="11850064"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38356EB"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E085B9F" w14:textId="328FD8F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64D94E9"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21AFE3A4" w14:textId="13029CFF"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3242DDEA" w14:textId="0B13D406"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3BCCE3C" w14:textId="1B8EC0FE"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0F57A5D9" w14:textId="79B1A67B"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2D40D4D3" w14:textId="50421931"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6099CB13" w14:textId="7FC3055E"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53038239" w14:textId="7A1EE51A"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34B4D6A" w14:textId="77777777" w:rsidR="00127A53" w:rsidRPr="00576CD2" w:rsidRDefault="00127A53" w:rsidP="00127A53">
            <w:pPr>
              <w:adjustRightInd w:val="0"/>
              <w:spacing w:after="0" w:line="240" w:lineRule="auto"/>
              <w:ind w:left="142"/>
              <w:rPr>
                <w:rFonts w:cstheme="minorHAnsi"/>
                <w:sz w:val="20"/>
                <w:szCs w:val="20"/>
              </w:rPr>
            </w:pPr>
            <w:r w:rsidRPr="00576CD2">
              <w:rPr>
                <w:rFonts w:cstheme="minorHAnsi"/>
                <w:sz w:val="20"/>
                <w:szCs w:val="20"/>
              </w:rPr>
              <w:t>Aneurysm Enlargement*</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AE5A59D"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04855E7"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70F4429" w14:textId="662D3B49"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78E4B34"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FB6C7B7" w14:textId="6F096C5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(0/2)</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775C051"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421883D5" w14:textId="0B6BF3D4"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A046507"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41865FBD" w14:textId="19B619B1"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5B9F45DC" w14:textId="6EEEA960"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5B13BBF0" w14:textId="7E8101C8"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7405B27D" w14:textId="238B75A5"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F1DBDB5" w14:textId="1847C1FE"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0E48099D" w14:textId="3F312C08"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230DEB85" w14:textId="12814374"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8A7AAC2" w14:textId="77777777" w:rsidR="00127A53" w:rsidRPr="00576CD2" w:rsidRDefault="00127A53" w:rsidP="00127A53">
            <w:pPr>
              <w:adjustRightInd w:val="0"/>
              <w:spacing w:after="0" w:line="240" w:lineRule="auto"/>
              <w:ind w:left="142"/>
              <w:rPr>
                <w:rFonts w:cstheme="minorHAnsi"/>
                <w:sz w:val="20"/>
                <w:szCs w:val="20"/>
              </w:rPr>
            </w:pPr>
            <w:r w:rsidRPr="00576CD2">
              <w:rPr>
                <w:rFonts w:cstheme="minorHAnsi"/>
                <w:sz w:val="20"/>
                <w:szCs w:val="20"/>
              </w:rPr>
              <w:t>Loss of Patency</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06E1FC9"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34EBD73" w14:textId="252325CE"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5FF8CC2"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5EC6D0F9" w14:textId="632B0F8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254D766"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0C4BC564" w14:textId="08E7DEA3"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1B07999"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51E03424" w14:textId="0B5FB50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A892BB8"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213D265E" w14:textId="15A4B38F"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4AD5AD5D" w14:textId="2718095B"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41F59D18" w14:textId="0FB28F49"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447E5EBC" w14:textId="38B9C8D4"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06987D5C" w14:textId="66238653"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0405844C" w14:textId="3FB8A32C"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5995508B" w14:textId="2790CAC3"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8111086" w14:textId="77777777" w:rsidR="00127A53" w:rsidRPr="00576CD2" w:rsidRDefault="00127A53" w:rsidP="00127A53">
            <w:pPr>
              <w:adjustRightInd w:val="0"/>
              <w:spacing w:after="0" w:line="240" w:lineRule="auto"/>
              <w:ind w:left="142"/>
              <w:rPr>
                <w:rFonts w:cstheme="minorHAnsi"/>
                <w:sz w:val="20"/>
                <w:szCs w:val="20"/>
              </w:rPr>
            </w:pPr>
            <w:r w:rsidRPr="00576CD2">
              <w:rPr>
                <w:rFonts w:cstheme="minorHAnsi"/>
                <w:sz w:val="20"/>
                <w:szCs w:val="20"/>
              </w:rPr>
              <w:t>Decreased stent-graft lumen diameter</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AA05B67"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1B3E242" w14:textId="36E42D08"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E46FA35"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CFBE84D" w14:textId="37C7925E"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37A7877"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070BA23A" w14:textId="4BD84922"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(0/2)</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F2A97B4"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45B2CC9" w14:textId="1A35DB4B"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CCAF6A4"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8D2112F" w14:textId="2B5F2995"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01D215B5" w14:textId="0CAF53BB"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4DE9FCB5" w14:textId="60CE1EAA"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420588B6" w14:textId="26B4FE3A"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24909448" w14:textId="7A59C895"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78BF664A" w14:textId="309EFC35"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721805E7" w14:textId="1F460BD0"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03FBBC9" w14:textId="77777777" w:rsidR="00127A53" w:rsidRPr="00576CD2" w:rsidRDefault="00127A53" w:rsidP="00127A53">
            <w:pPr>
              <w:adjustRightInd w:val="0"/>
              <w:spacing w:after="0" w:line="240" w:lineRule="auto"/>
              <w:ind w:left="142"/>
              <w:rPr>
                <w:rFonts w:cstheme="minorHAnsi"/>
                <w:sz w:val="20"/>
                <w:szCs w:val="20"/>
              </w:rPr>
            </w:pPr>
            <w:r w:rsidRPr="00576CD2">
              <w:rPr>
                <w:rFonts w:cstheme="minorHAnsi"/>
                <w:sz w:val="20"/>
                <w:szCs w:val="20"/>
              </w:rPr>
              <w:t>Fractures*</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B6E5DEE"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3813FF50" w14:textId="24DF73E8"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1B4DB44"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2366C1D" w14:textId="03F9D033"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037577C"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2CDE7C63" w14:textId="4C6C4246"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(0/2)</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E89C723"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E56B283" w14:textId="400A847F"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9572EEB"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0F0B2F8C" w14:textId="1164F6A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157AF6C9" w14:textId="0A06099B"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3B2BCD53" w14:textId="38BE212C"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4E52D3E1" w14:textId="2F2EAC5C"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A70BD39" w14:textId="59A7003C"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5D3FDFAF" w14:textId="02D1C91F"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4C58999E" w14:textId="50B14655"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EA752BA" w14:textId="77777777" w:rsidR="00127A53" w:rsidRPr="00576CD2" w:rsidRDefault="00127A53" w:rsidP="00127A53">
            <w:pPr>
              <w:adjustRightInd w:val="0"/>
              <w:spacing w:after="0" w:line="240" w:lineRule="auto"/>
              <w:ind w:left="142"/>
              <w:rPr>
                <w:rFonts w:cstheme="minorHAnsi"/>
                <w:sz w:val="20"/>
                <w:szCs w:val="20"/>
              </w:rPr>
            </w:pPr>
            <w:r w:rsidRPr="00576CD2">
              <w:rPr>
                <w:rFonts w:cstheme="minorHAnsi"/>
                <w:sz w:val="20"/>
                <w:szCs w:val="20"/>
              </w:rPr>
              <w:t>Conversion to Open Repair</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2E31FB6"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41D5AF3" w14:textId="44163459"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F24213F"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4536EAA7" w14:textId="324C9606"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492A20E"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6D4E25B" w14:textId="16242B02"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01739D0"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0FFCA729" w14:textId="36A98319"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84291B1"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AA58B29" w14:textId="50AFEDCC"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06D7A939" w14:textId="386479E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BD897BB" w14:textId="00065071"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74DE48E5" w14:textId="05DE2EDF"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F41DA17" w14:textId="2AE64DA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3BE3FCDA" w14:textId="7B74C3AD"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1DC48DA1" w14:textId="4EAC2DE7"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E0A2693" w14:textId="77777777" w:rsidR="00127A53" w:rsidRPr="00576CD2" w:rsidRDefault="00127A53" w:rsidP="00127A53">
            <w:pPr>
              <w:adjustRightInd w:val="0"/>
              <w:spacing w:after="0" w:line="240" w:lineRule="auto"/>
              <w:ind w:left="142"/>
              <w:rPr>
                <w:rFonts w:cstheme="minorHAnsi"/>
                <w:sz w:val="20"/>
                <w:szCs w:val="20"/>
              </w:rPr>
            </w:pPr>
            <w:r w:rsidRPr="00576CD2">
              <w:rPr>
                <w:rFonts w:cstheme="minorHAnsi"/>
                <w:sz w:val="20"/>
                <w:szCs w:val="20"/>
              </w:rPr>
              <w:t>Secondary Intervention related to device or pathology</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F339296"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676CFFC" w14:textId="7E4459BD"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02F19CA"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715D6AD" w14:textId="681C4926"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6BCA88C"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BD9ACC7" w14:textId="085F9AA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FCD02BD"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08C60093" w14:textId="3611B156"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945A815"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2F10B64F" w14:textId="7CDBD9F6"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469F592D" w14:textId="0E48A4DC" w:rsidR="00127A53" w:rsidRPr="00576CD2" w:rsidRDefault="00127A53" w:rsidP="007B77FA">
            <w:pPr>
              <w:adjustRightInd w:val="0"/>
              <w:spacing w:after="0" w:line="240" w:lineRule="auto"/>
              <w:jc w:val="center"/>
              <w:rPr>
                <w:rFonts w:cstheme="minorHAnsi"/>
                <w:sz w:val="20"/>
                <w:szCs w:val="20"/>
              </w:rPr>
            </w:pPr>
            <w:r w:rsidRPr="00576CD2">
              <w:rPr>
                <w:rFonts w:cstheme="minorHAnsi"/>
                <w:sz w:val="20"/>
                <w:szCs w:val="20"/>
              </w:rPr>
              <w:t>0.0%</w:t>
            </w:r>
          </w:p>
          <w:p w14:paraId="2F2EC34D" w14:textId="0A6510A1" w:rsidR="00127A53" w:rsidRPr="00576CD2" w:rsidRDefault="00127A53" w:rsidP="007B77FA">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412AB45" w14:textId="13E94E89" w:rsidR="00127A53" w:rsidRPr="00576CD2" w:rsidRDefault="00127A53" w:rsidP="007B77FA">
            <w:pPr>
              <w:adjustRightInd w:val="0"/>
              <w:spacing w:after="0" w:line="240" w:lineRule="auto"/>
              <w:jc w:val="center"/>
              <w:rPr>
                <w:rFonts w:cstheme="minorHAnsi"/>
                <w:sz w:val="20"/>
                <w:szCs w:val="20"/>
              </w:rPr>
            </w:pPr>
            <w:r w:rsidRPr="00576CD2">
              <w:rPr>
                <w:rFonts w:cstheme="minorHAnsi"/>
                <w:sz w:val="20"/>
                <w:szCs w:val="20"/>
              </w:rPr>
              <w:t>0.0%</w:t>
            </w:r>
          </w:p>
          <w:p w14:paraId="30072934" w14:textId="5294D0E0" w:rsidR="00127A53" w:rsidRPr="00576CD2" w:rsidRDefault="00127A53" w:rsidP="007B77FA">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3E69DB2C" w14:textId="7AFD7131"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15B84D5B" w14:textId="2BAB6B93"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87A15E2" w14:textId="77777777" w:rsidR="00127A53" w:rsidRPr="00576CD2" w:rsidRDefault="00127A53" w:rsidP="00127A53">
            <w:pPr>
              <w:keepNext/>
              <w:adjustRightInd w:val="0"/>
              <w:spacing w:after="0" w:line="240" w:lineRule="auto"/>
              <w:ind w:left="142"/>
              <w:rPr>
                <w:rFonts w:cstheme="minorHAnsi"/>
                <w:sz w:val="20"/>
                <w:szCs w:val="20"/>
              </w:rPr>
            </w:pPr>
            <w:r w:rsidRPr="00576CD2">
              <w:rPr>
                <w:rFonts w:cstheme="minorHAnsi"/>
                <w:sz w:val="20"/>
                <w:szCs w:val="20"/>
              </w:rPr>
              <w:t>Thromboembolic event attributed to stent-graft</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119E951" w14:textId="77777777"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1EA64204" w14:textId="188B3FC3"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0BBBE617" w14:textId="77777777"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6B3F4ECB" w14:textId="49FD0BD6"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36762C2C" w14:textId="77777777"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76BEBC8D" w14:textId="1E9ADF53"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5F96F14" w14:textId="77777777"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0E546257" w14:textId="56EEE5F9"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68D282AF" w14:textId="77777777"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564D537C" w14:textId="204DEEE5"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5B73FB00" w14:textId="7E0EFAF7"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6F889881" w14:textId="1161B938"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001F9170" w14:textId="093980B3"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664F929C" w14:textId="563272EA" w:rsidR="00127A53" w:rsidRPr="00576CD2" w:rsidRDefault="00127A53" w:rsidP="00127A53">
            <w:pPr>
              <w:keepNext/>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6A4ABB5E" w14:textId="1DB7CCCD" w:rsidR="00127A53" w:rsidRPr="00576CD2" w:rsidRDefault="00A3090A" w:rsidP="00127A53">
            <w:pPr>
              <w:keepNext/>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3709C072" w14:textId="548D0FA1"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A7C5800" w14:textId="18C1ED14" w:rsidR="00127A53" w:rsidRPr="00576CD2" w:rsidRDefault="00127A53" w:rsidP="00127A53">
            <w:pPr>
              <w:adjustRightInd w:val="0"/>
              <w:spacing w:after="0" w:line="240" w:lineRule="auto"/>
              <w:ind w:left="142"/>
              <w:rPr>
                <w:rFonts w:cstheme="minorHAnsi"/>
                <w:sz w:val="20"/>
                <w:szCs w:val="20"/>
              </w:rPr>
            </w:pPr>
            <w:r w:rsidRPr="00576CD2">
              <w:rPr>
                <w:rFonts w:cstheme="minorHAnsi"/>
                <w:sz w:val="20"/>
                <w:szCs w:val="20"/>
              </w:rPr>
              <w:t>Device-related Adverse Events</w:t>
            </w:r>
            <w:r w:rsidR="00660872" w:rsidRPr="00576CD2">
              <w:rPr>
                <w:rFonts w:cstheme="minorHAnsi"/>
                <w:sz w:val="20"/>
                <w:szCs w:val="20"/>
              </w:rPr>
              <w:t xml:space="preserve"> (CEC-adjudicated)</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D07A888"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6F48DDD3" w14:textId="4A189B39"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5E39EB6C"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5972E215" w14:textId="4276AF8F"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(0/4)</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2A975A32"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27583857" w14:textId="6E897696"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(0/3)</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11558AAF"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7E762CFB" w14:textId="6D272223"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(0/1)</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hideMark/>
          </w:tcPr>
          <w:p w14:paraId="7BAA5E6F" w14:textId="77777777"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16A88F0C" w14:textId="6EEC55F4"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0D3B9173" w14:textId="1D9561D4"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5B848E8F" w14:textId="186064E0"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hideMark/>
          </w:tcPr>
          <w:p w14:paraId="68CAFBAA" w14:textId="3BEFA1D3"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 xml:space="preserve">0.0% </w:t>
            </w:r>
          </w:p>
          <w:p w14:paraId="075DDD91" w14:textId="3CD291D8" w:rsidR="00127A53" w:rsidRPr="00576CD2" w:rsidRDefault="00127A53" w:rsidP="00127A53">
            <w:pPr>
              <w:adjustRightInd w:val="0"/>
              <w:spacing w:after="0" w:line="240" w:lineRule="auto"/>
              <w:jc w:val="center"/>
              <w:rPr>
                <w:rFonts w:cstheme="minorHAnsi"/>
                <w:sz w:val="20"/>
                <w:szCs w:val="20"/>
              </w:rPr>
            </w:pPr>
            <w:r w:rsidRPr="00576CD2">
              <w:rPr>
                <w:rFonts w:cstheme="minorHAnsi"/>
                <w:sz w:val="20"/>
                <w:szCs w:val="20"/>
              </w:rPr>
              <w:t>(0/0)</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429D8455" w14:textId="56E63D1B" w:rsidR="00127A53" w:rsidRPr="00576CD2" w:rsidRDefault="00A3090A" w:rsidP="00127A5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1BFFF5AC" w14:textId="216A2C7E" w:rsidTr="00AC4ED8">
        <w:trPr>
          <w:gridAfter w:val="1"/>
          <w:wAfter w:w="41" w:type="pct"/>
          <w:cantSplit/>
          <w:jc w:val="center"/>
        </w:trPr>
        <w:tc>
          <w:tcPr>
            <w:tcW w:w="1290"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0C2894CF" w14:textId="659A2ADE" w:rsidR="00EE2C77" w:rsidRPr="00576CD2" w:rsidRDefault="00EE2C77" w:rsidP="00590402">
            <w:pPr>
              <w:adjustRightInd w:val="0"/>
              <w:spacing w:after="0" w:line="240" w:lineRule="auto"/>
              <w:ind w:left="142"/>
              <w:rPr>
                <w:rFonts w:cstheme="minorHAnsi"/>
                <w:sz w:val="20"/>
                <w:szCs w:val="20"/>
              </w:rPr>
            </w:pPr>
            <w:r w:rsidRPr="00576CD2">
              <w:rPr>
                <w:rFonts w:cstheme="minorHAnsi"/>
                <w:sz w:val="20"/>
                <w:szCs w:val="20"/>
              </w:rPr>
              <w:t>Vascular access complications at the index procedure</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3F7413DE" w14:textId="77777777" w:rsidR="00EE2C77" w:rsidRPr="00576CD2" w:rsidRDefault="00EE2C77">
            <w:pPr>
              <w:keepNext/>
              <w:adjustRightInd w:val="0"/>
              <w:spacing w:after="0" w:line="240" w:lineRule="auto"/>
              <w:jc w:val="center"/>
              <w:rPr>
                <w:rFonts w:cstheme="minorHAnsi"/>
                <w:sz w:val="20"/>
                <w:szCs w:val="20"/>
              </w:rPr>
            </w:pPr>
            <w:r w:rsidRPr="00576CD2">
              <w:rPr>
                <w:rFonts w:cstheme="minorHAnsi"/>
                <w:sz w:val="20"/>
                <w:szCs w:val="20"/>
              </w:rPr>
              <w:t xml:space="preserve">0.0% </w:t>
            </w:r>
          </w:p>
          <w:p w14:paraId="0BE16FF1" w14:textId="19D9468B" w:rsidR="00EE2C77" w:rsidRPr="00576CD2" w:rsidRDefault="00EE2C77">
            <w:pPr>
              <w:keepNext/>
              <w:adjustRightInd w:val="0"/>
              <w:spacing w:after="0" w:line="240" w:lineRule="auto"/>
              <w:jc w:val="center"/>
              <w:rPr>
                <w:rFonts w:cstheme="minorHAnsi"/>
                <w:sz w:val="20"/>
                <w:szCs w:val="20"/>
              </w:rPr>
            </w:pPr>
            <w:r w:rsidRPr="00576CD2">
              <w:rPr>
                <w:rFonts w:cstheme="minorHAnsi"/>
                <w:sz w:val="20"/>
                <w:szCs w:val="20"/>
              </w:rPr>
              <w:t>(0/5)</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2902081" w14:textId="4641DFCF"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4E3BD84B" w14:textId="3F9D3BBE"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68E59082" w14:textId="7E8523FB"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49E5AE35" w14:textId="1D8E9C6F"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0B58FF13" w14:textId="1699C744"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54" w:type="pct"/>
            <w:tcBorders>
              <w:top w:val="nil"/>
              <w:left w:val="single" w:sz="4" w:space="0" w:color="4F493B"/>
              <w:bottom w:val="single" w:sz="2" w:space="0" w:color="4F493B"/>
              <w:right w:val="single" w:sz="2" w:space="0" w:color="4F493B"/>
            </w:tcBorders>
            <w:shd w:val="clear" w:color="auto" w:fill="FFFFFF"/>
            <w:tcMar>
              <w:top w:w="0" w:type="dxa"/>
              <w:left w:w="29" w:type="dxa"/>
              <w:bottom w:w="0" w:type="dxa"/>
              <w:right w:w="29" w:type="dxa"/>
            </w:tcMar>
            <w:vAlign w:val="center"/>
          </w:tcPr>
          <w:p w14:paraId="703E2AE1" w14:textId="1306446A" w:rsidR="00EE2C77" w:rsidRPr="00576CD2" w:rsidRDefault="00EE2C77">
            <w:pPr>
              <w:adjustRightInd w:val="0"/>
              <w:spacing w:after="0" w:line="240" w:lineRule="auto"/>
              <w:jc w:val="center"/>
              <w:rPr>
                <w:rFonts w:cstheme="minorHAnsi"/>
                <w:sz w:val="20"/>
                <w:szCs w:val="20"/>
              </w:rPr>
            </w:pPr>
            <w:r w:rsidRPr="00576CD2">
              <w:rPr>
                <w:rFonts w:cstheme="minorHAnsi"/>
                <w:sz w:val="20"/>
                <w:szCs w:val="20"/>
              </w:rPr>
              <w:t>NA</w:t>
            </w:r>
          </w:p>
        </w:tc>
        <w:tc>
          <w:tcPr>
            <w:tcW w:w="491" w:type="pct"/>
            <w:tcBorders>
              <w:top w:val="nil"/>
              <w:left w:val="single" w:sz="4" w:space="0" w:color="4F493B"/>
              <w:bottom w:val="single" w:sz="2" w:space="0" w:color="4F493B"/>
              <w:right w:val="single" w:sz="2" w:space="0" w:color="4F493B"/>
            </w:tcBorders>
            <w:shd w:val="clear" w:color="auto" w:fill="FFFFFF"/>
            <w:vAlign w:val="center"/>
          </w:tcPr>
          <w:p w14:paraId="0139A290" w14:textId="56E0375A" w:rsidR="00EE2C77" w:rsidRPr="00576CD2" w:rsidRDefault="00886D4D" w:rsidP="002A06A3">
            <w:pPr>
              <w:adjustRightInd w:val="0"/>
              <w:spacing w:after="0" w:line="240" w:lineRule="auto"/>
              <w:jc w:val="center"/>
              <w:rPr>
                <w:rFonts w:cstheme="minorHAnsi"/>
                <w:sz w:val="20"/>
                <w:szCs w:val="20"/>
              </w:rPr>
            </w:pPr>
            <w:r w:rsidRPr="00576CD2">
              <w:rPr>
                <w:rFonts w:cstheme="minorHAnsi"/>
                <w:sz w:val="20"/>
                <w:szCs w:val="20"/>
              </w:rPr>
              <w:t>0</w:t>
            </w:r>
          </w:p>
        </w:tc>
      </w:tr>
      <w:tr w:rsidR="00576CD2" w:rsidRPr="00576CD2" w14:paraId="6F7DE411" w14:textId="77777777" w:rsidTr="00AC4ED8">
        <w:trPr>
          <w:cantSplit/>
          <w:jc w:val="center"/>
        </w:trPr>
        <w:tc>
          <w:tcPr>
            <w:tcW w:w="5000" w:type="pct"/>
            <w:gridSpan w:val="10"/>
            <w:shd w:val="clear" w:color="auto" w:fill="FFFFFF"/>
          </w:tcPr>
          <w:p w14:paraId="45808BBE" w14:textId="07637C32" w:rsidR="00FE3E3F" w:rsidRPr="00576CD2" w:rsidRDefault="00FE3E3F" w:rsidP="00FE3E3F">
            <w:pPr>
              <w:adjustRightInd w:val="0"/>
              <w:spacing w:after="0" w:line="240" w:lineRule="auto"/>
              <w:ind w:left="90"/>
              <w:rPr>
                <w:rFonts w:cstheme="minorHAnsi"/>
                <w:sz w:val="20"/>
                <w:szCs w:val="20"/>
              </w:rPr>
            </w:pPr>
            <w:r w:rsidRPr="00576CD2">
              <w:rPr>
                <w:rFonts w:cstheme="minorHAnsi"/>
                <w:sz w:val="20"/>
                <w:szCs w:val="20"/>
              </w:rPr>
              <w:t>All values expressed as % (n/N) for endpoints reported within the specified window.</w:t>
            </w:r>
            <w:r w:rsidRPr="00576CD2">
              <w:rPr>
                <w:rFonts w:cstheme="minorHAnsi"/>
                <w:sz w:val="20"/>
                <w:szCs w:val="20"/>
              </w:rPr>
              <w:br/>
            </w:r>
            <w:r w:rsidRPr="00576CD2">
              <w:rPr>
                <w:rFonts w:cstheme="minorHAnsi"/>
                <w:sz w:val="20"/>
                <w:szCs w:val="20"/>
              </w:rPr>
              <w:br/>
              <w:t>* This data represents Core Laboratory assessed endpoint, including any reports of fracture, migration, endoleak, or aneurysm enlargement within each interval, including observations previously identified at earlier intervals that are considered ongoing or persistent and observations identified during an identified that later resolved within the interval.</w:t>
            </w:r>
          </w:p>
        </w:tc>
      </w:tr>
    </w:tbl>
    <w:p w14:paraId="26DD6155" w14:textId="77777777" w:rsidR="00A75C6C" w:rsidRPr="00576CD2" w:rsidRDefault="00A75C6C" w:rsidP="00F34F3A">
      <w:pPr>
        <w:spacing w:after="0" w:line="240" w:lineRule="auto"/>
        <w:ind w:left="720" w:right="90"/>
        <w:jc w:val="both"/>
        <w:rPr>
          <w:rFonts w:ascii="Calibri" w:eastAsia="Calibri" w:hAnsi="Calibri" w:cs="Calibri"/>
          <w:sz w:val="18"/>
          <w:szCs w:val="18"/>
        </w:rPr>
      </w:pPr>
    </w:p>
    <w:p w14:paraId="1C6CE4D3" w14:textId="07036CD1" w:rsidR="00193273" w:rsidRPr="00576CD2" w:rsidRDefault="00193273" w:rsidP="00193273">
      <w:pPr>
        <w:spacing w:line="240" w:lineRule="auto"/>
        <w:ind w:left="720"/>
        <w:jc w:val="both"/>
        <w:rPr>
          <w:rFonts w:cstheme="minorHAnsi"/>
          <w:i/>
        </w:rPr>
      </w:pPr>
      <w:r w:rsidRPr="00576CD2">
        <w:rPr>
          <w:rFonts w:cstheme="minorHAnsi"/>
          <w:i/>
        </w:rPr>
        <w:t>Post Approval Study (PAS):</w:t>
      </w:r>
    </w:p>
    <w:p w14:paraId="4A620BB0" w14:textId="43DFC38E" w:rsidR="00620980" w:rsidRPr="00576CD2" w:rsidRDefault="0082648C" w:rsidP="00193273">
      <w:pPr>
        <w:spacing w:after="0" w:line="240" w:lineRule="auto"/>
        <w:ind w:left="720" w:right="90"/>
        <w:jc w:val="both"/>
        <w:rPr>
          <w:rFonts w:eastAsia="Calibri" w:cstheme="minorHAnsi"/>
        </w:rPr>
      </w:pPr>
      <w:r w:rsidRPr="00576CD2">
        <w:rPr>
          <w:rFonts w:eastAsia="Calibri" w:cstheme="minorHAnsi"/>
        </w:rPr>
        <w:t>Data from the TiGER RelayPro-</w:t>
      </w:r>
      <w:r w:rsidR="00C2052C" w:rsidRPr="00576CD2">
        <w:rPr>
          <w:rFonts w:eastAsia="Calibri" w:cstheme="minorHAnsi"/>
        </w:rPr>
        <w:t>PAS subjects</w:t>
      </w:r>
      <w:r w:rsidR="00D565B5" w:rsidRPr="00576CD2">
        <w:rPr>
          <w:rFonts w:eastAsia="Calibri" w:cstheme="minorHAnsi"/>
        </w:rPr>
        <w:t xml:space="preserve"> in </w:t>
      </w:r>
      <w:r w:rsidR="001D5EAB" w:rsidRPr="00576CD2">
        <w:rPr>
          <w:rFonts w:eastAsia="Calibri" w:cstheme="minorHAnsi"/>
        </w:rPr>
        <w:fldChar w:fldCharType="begin"/>
      </w:r>
      <w:r w:rsidR="001D5EAB" w:rsidRPr="00576CD2">
        <w:rPr>
          <w:rFonts w:eastAsia="Calibri" w:cstheme="minorHAnsi"/>
        </w:rPr>
        <w:instrText xml:space="preserve"> REF _Ref112944062 \h  \* MERGEFORMAT </w:instrText>
      </w:r>
      <w:r w:rsidR="001D5EAB" w:rsidRPr="00576CD2">
        <w:rPr>
          <w:rFonts w:eastAsia="Calibri" w:cstheme="minorHAnsi"/>
        </w:rPr>
      </w:r>
      <w:r w:rsidR="001D5EAB" w:rsidRPr="00576CD2">
        <w:rPr>
          <w:rFonts w:eastAsia="Calibri" w:cstheme="minorHAnsi"/>
        </w:rPr>
        <w:fldChar w:fldCharType="separate"/>
      </w:r>
      <w:r w:rsidR="007A0BFD" w:rsidRPr="007A0BFD">
        <w:rPr>
          <w:b/>
          <w:bCs/>
        </w:rPr>
        <w:t xml:space="preserve">Table </w:t>
      </w:r>
      <w:r w:rsidR="007A0BFD" w:rsidRPr="007A0BFD">
        <w:rPr>
          <w:b/>
          <w:bCs/>
          <w:noProof/>
        </w:rPr>
        <w:t>3</w:t>
      </w:r>
      <w:r w:rsidR="001D5EAB" w:rsidRPr="00576CD2">
        <w:rPr>
          <w:rFonts w:eastAsia="Calibri" w:cstheme="minorHAnsi"/>
        </w:rPr>
        <w:fldChar w:fldCharType="end"/>
      </w:r>
      <w:r w:rsidR="001D5EAB" w:rsidRPr="00576CD2">
        <w:rPr>
          <w:rFonts w:eastAsia="Calibri" w:cstheme="minorHAnsi"/>
        </w:rPr>
        <w:t xml:space="preserve"> </w:t>
      </w:r>
      <w:r w:rsidRPr="00576CD2">
        <w:rPr>
          <w:rFonts w:eastAsia="Calibri" w:cstheme="minorHAnsi"/>
        </w:rPr>
        <w:t xml:space="preserve">shows that there </w:t>
      </w:r>
      <w:r w:rsidR="00731BE4" w:rsidRPr="00576CD2">
        <w:rPr>
          <w:rFonts w:eastAsia="Calibri" w:cstheme="minorHAnsi"/>
        </w:rPr>
        <w:t>ha</w:t>
      </w:r>
      <w:r w:rsidR="00267CDD" w:rsidRPr="00576CD2">
        <w:rPr>
          <w:rFonts w:eastAsia="Calibri" w:cstheme="minorHAnsi"/>
        </w:rPr>
        <w:t>ve</w:t>
      </w:r>
      <w:r w:rsidRPr="00576CD2">
        <w:rPr>
          <w:rFonts w:eastAsia="Calibri" w:cstheme="minorHAnsi"/>
        </w:rPr>
        <w:t xml:space="preserve"> been </w:t>
      </w:r>
      <w:r w:rsidR="00267CDD" w:rsidRPr="00576CD2">
        <w:rPr>
          <w:rFonts w:eastAsia="Calibri" w:cstheme="minorHAnsi"/>
        </w:rPr>
        <w:t>2</w:t>
      </w:r>
      <w:r w:rsidRPr="00576CD2">
        <w:rPr>
          <w:rFonts w:eastAsia="Calibri" w:cstheme="minorHAnsi"/>
        </w:rPr>
        <w:t xml:space="preserve"> MAE</w:t>
      </w:r>
      <w:r w:rsidR="008B50F3" w:rsidRPr="00576CD2">
        <w:rPr>
          <w:rFonts w:eastAsia="Calibri" w:cstheme="minorHAnsi"/>
        </w:rPr>
        <w:t>s</w:t>
      </w:r>
      <w:r w:rsidRPr="00576CD2">
        <w:rPr>
          <w:rFonts w:eastAsia="Calibri" w:cstheme="minorHAnsi"/>
        </w:rPr>
        <w:t xml:space="preserve"> </w:t>
      </w:r>
      <w:r w:rsidR="00731BE4" w:rsidRPr="00576CD2">
        <w:rPr>
          <w:rFonts w:eastAsia="Calibri" w:cstheme="minorHAnsi"/>
        </w:rPr>
        <w:t>reported</w:t>
      </w:r>
      <w:r w:rsidR="008B50F3" w:rsidRPr="00576CD2">
        <w:rPr>
          <w:rFonts w:eastAsia="Calibri" w:cstheme="minorHAnsi"/>
        </w:rPr>
        <w:t xml:space="preserve"> in one patient (052-043)</w:t>
      </w:r>
      <w:r w:rsidR="00E569C0" w:rsidRPr="00576CD2">
        <w:rPr>
          <w:rFonts w:eastAsia="Calibri" w:cstheme="minorHAnsi"/>
        </w:rPr>
        <w:t xml:space="preserve"> and no </w:t>
      </w:r>
      <w:r w:rsidRPr="00576CD2">
        <w:rPr>
          <w:rFonts w:eastAsia="Calibri" w:cstheme="minorHAnsi"/>
        </w:rPr>
        <w:t xml:space="preserve">failures in device integrity in this reporting period. </w:t>
      </w:r>
    </w:p>
    <w:p w14:paraId="3CEBC4C3" w14:textId="77777777" w:rsidR="00DA3882" w:rsidRPr="00576CD2" w:rsidRDefault="00DA3882" w:rsidP="00193273">
      <w:pPr>
        <w:spacing w:after="0" w:line="240" w:lineRule="auto"/>
        <w:ind w:left="720" w:right="90"/>
        <w:jc w:val="both"/>
        <w:rPr>
          <w:rFonts w:eastAsia="Calibri" w:cstheme="minorHAnsi"/>
        </w:rPr>
      </w:pPr>
    </w:p>
    <w:p w14:paraId="7C0FA60D" w14:textId="26666D50" w:rsidR="00F24C40" w:rsidRPr="00576CD2" w:rsidRDefault="00F24C40" w:rsidP="00F24C40">
      <w:pPr>
        <w:spacing w:after="0" w:line="240" w:lineRule="auto"/>
        <w:ind w:left="720"/>
        <w:jc w:val="both"/>
      </w:pPr>
      <w:r w:rsidRPr="00576CD2">
        <w:t xml:space="preserve">No secondary interventions were performed due to the integrity of the RelayPro device. Six (6) </w:t>
      </w:r>
      <w:r w:rsidR="72D3F561" w:rsidRPr="00576CD2">
        <w:t>additional procedures</w:t>
      </w:r>
      <w:r w:rsidRPr="00576CD2">
        <w:t xml:space="preserve"> were reported in five (5) patients</w:t>
      </w:r>
      <w:r w:rsidR="73C25F37" w:rsidRPr="00576CD2">
        <w:t xml:space="preserve"> post implantation, </w:t>
      </w:r>
      <w:r w:rsidR="1F6D6117" w:rsidRPr="00576CD2">
        <w:t>none of which are deemed reinterventions as a result of RelayPro</w:t>
      </w:r>
      <w:r w:rsidRPr="00576CD2">
        <w:t>:</w:t>
      </w:r>
    </w:p>
    <w:p w14:paraId="7F623E73" w14:textId="77777777" w:rsidR="00F24C40" w:rsidRPr="00576CD2" w:rsidRDefault="00F24C40" w:rsidP="00F24C40">
      <w:pPr>
        <w:pStyle w:val="ListParagraph"/>
        <w:numPr>
          <w:ilvl w:val="0"/>
          <w:numId w:val="17"/>
        </w:numPr>
        <w:spacing w:after="0" w:line="240" w:lineRule="auto"/>
        <w:jc w:val="both"/>
        <w:rPr>
          <w:rFonts w:cstheme="minorHAnsi"/>
        </w:rPr>
      </w:pPr>
      <w:r w:rsidRPr="00576CD2">
        <w:rPr>
          <w:rFonts w:cstheme="minorHAnsi"/>
        </w:rPr>
        <w:lastRenderedPageBreak/>
        <w:t>One was an unplanned procedure (Subject 052-043 - Left axillary stenting and hematoma drainage)</w:t>
      </w:r>
    </w:p>
    <w:p w14:paraId="7702BA2F" w14:textId="77777777" w:rsidR="00F24C40" w:rsidRPr="00576CD2" w:rsidRDefault="00F24C40" w:rsidP="00F24C40">
      <w:pPr>
        <w:pStyle w:val="ListParagraph"/>
        <w:numPr>
          <w:ilvl w:val="0"/>
          <w:numId w:val="17"/>
        </w:numPr>
        <w:spacing w:after="0" w:line="240" w:lineRule="auto"/>
        <w:jc w:val="both"/>
        <w:rPr>
          <w:rFonts w:cstheme="minorHAnsi"/>
        </w:rPr>
      </w:pPr>
      <w:r w:rsidRPr="00576CD2">
        <w:rPr>
          <w:rFonts w:cstheme="minorHAnsi"/>
        </w:rPr>
        <w:t xml:space="preserve">Three were planned second stage procedures for Thoracoabdominal aneurysm coverage with a fenestrated AAA device </w:t>
      </w:r>
    </w:p>
    <w:p w14:paraId="3EAD9961" w14:textId="77777777" w:rsidR="00F24C40" w:rsidRPr="00576CD2" w:rsidRDefault="00F24C40" w:rsidP="00F24C40">
      <w:pPr>
        <w:pStyle w:val="ListParagraph"/>
        <w:numPr>
          <w:ilvl w:val="0"/>
          <w:numId w:val="17"/>
        </w:numPr>
        <w:spacing w:after="0" w:line="240" w:lineRule="auto"/>
        <w:jc w:val="both"/>
      </w:pPr>
      <w:r w:rsidRPr="00576CD2">
        <w:t>Two were extension procedures of the RelayPro;</w:t>
      </w:r>
    </w:p>
    <w:p w14:paraId="24E20544" w14:textId="73DB38D4" w:rsidR="00F24C40" w:rsidRPr="00576CD2" w:rsidRDefault="1177A9AB" w:rsidP="00F24C40">
      <w:pPr>
        <w:pStyle w:val="ListParagraph"/>
        <w:numPr>
          <w:ilvl w:val="1"/>
          <w:numId w:val="17"/>
        </w:numPr>
        <w:spacing w:after="0" w:line="240" w:lineRule="auto"/>
        <w:jc w:val="both"/>
      </w:pPr>
      <w:r w:rsidRPr="00576CD2">
        <w:t xml:space="preserve">One was reported by the site with the following reason: Extension for the relays. R&amp;L common femoral punction, coeliac embolization (plug).106cc contrast, 10min. </w:t>
      </w:r>
    </w:p>
    <w:p w14:paraId="07AEE26B" w14:textId="0A7B8BB2" w:rsidR="00F24C40" w:rsidRPr="00576CD2" w:rsidRDefault="00F24C40" w:rsidP="00F24C40">
      <w:pPr>
        <w:pStyle w:val="ListParagraph"/>
        <w:numPr>
          <w:ilvl w:val="1"/>
          <w:numId w:val="17"/>
        </w:numPr>
        <w:spacing w:after="0" w:line="240" w:lineRule="auto"/>
        <w:jc w:val="both"/>
      </w:pPr>
      <w:r w:rsidRPr="00576CD2">
        <w:t>The second was reported with the following reason: 2nd step: ensuring the distal sealing of thoracic edp (thoraco-abdominal aneurysm + T2EL on evita)</w:t>
      </w:r>
      <w:r w:rsidR="4E4F4657" w:rsidRPr="00576CD2">
        <w:t xml:space="preserve">.  </w:t>
      </w:r>
    </w:p>
    <w:p w14:paraId="2E364845" w14:textId="0FDDFC3E" w:rsidR="00F24C40" w:rsidRPr="00576CD2" w:rsidRDefault="00F24C40" w:rsidP="0BC24976">
      <w:pPr>
        <w:spacing w:after="0" w:line="240" w:lineRule="auto"/>
        <w:ind w:left="1080"/>
        <w:jc w:val="both"/>
      </w:pPr>
    </w:p>
    <w:p w14:paraId="0DF0D22E" w14:textId="557E2935" w:rsidR="00F24C40" w:rsidRPr="00576CD2" w:rsidRDefault="4E4F4657" w:rsidP="0BC24976">
      <w:pPr>
        <w:spacing w:after="0" w:line="240" w:lineRule="auto"/>
        <w:ind w:left="720"/>
        <w:jc w:val="both"/>
      </w:pPr>
      <w:r w:rsidRPr="00576CD2">
        <w:t xml:space="preserve">This is site reported data available at the time of report compilation, clarifications have been requested to obtain additional information on the procedures carried out. </w:t>
      </w:r>
    </w:p>
    <w:p w14:paraId="6ABBE555" w14:textId="77777777" w:rsidR="00F24C40" w:rsidRPr="00576CD2" w:rsidRDefault="00F24C40" w:rsidP="00F24C40">
      <w:pPr>
        <w:spacing w:after="0" w:line="240" w:lineRule="auto"/>
        <w:jc w:val="both"/>
      </w:pPr>
    </w:p>
    <w:p w14:paraId="4559D7AD" w14:textId="77777777" w:rsidR="00F24C40" w:rsidRPr="00576CD2" w:rsidRDefault="00F24C40" w:rsidP="00F24C40">
      <w:pPr>
        <w:spacing w:after="0" w:line="240" w:lineRule="auto"/>
        <w:ind w:left="720"/>
        <w:jc w:val="both"/>
      </w:pPr>
      <w:r w:rsidRPr="00576CD2">
        <w:t>No further information is available at this time.</w:t>
      </w:r>
    </w:p>
    <w:p w14:paraId="22B3F3F9" w14:textId="77777777" w:rsidR="00F24C40" w:rsidRPr="00576CD2" w:rsidRDefault="00F24C40" w:rsidP="00F24C40">
      <w:pPr>
        <w:spacing w:after="0" w:line="240" w:lineRule="auto"/>
        <w:jc w:val="both"/>
      </w:pPr>
    </w:p>
    <w:p w14:paraId="6CA34F0D" w14:textId="77777777" w:rsidR="00F24C40" w:rsidRPr="00576CD2" w:rsidRDefault="00F24C40" w:rsidP="00F24C40">
      <w:pPr>
        <w:spacing w:after="0" w:line="240" w:lineRule="auto"/>
        <w:ind w:left="720"/>
        <w:jc w:val="both"/>
        <w:rPr>
          <w:rFonts w:cstheme="minorHAnsi"/>
          <w:iCs/>
        </w:rPr>
      </w:pPr>
      <w:r w:rsidRPr="00576CD2">
        <w:rPr>
          <w:rFonts w:cstheme="minorHAnsi"/>
          <w:iCs/>
        </w:rPr>
        <w:t xml:space="preserve">There has been no clinically relevant change in trends compared to the data that supported the PMA approval. </w:t>
      </w:r>
    </w:p>
    <w:p w14:paraId="599BC440" w14:textId="77777777" w:rsidR="00F24C40" w:rsidRPr="00576CD2" w:rsidRDefault="00F24C40" w:rsidP="00193273">
      <w:pPr>
        <w:spacing w:after="0" w:line="240" w:lineRule="auto"/>
        <w:ind w:left="720" w:right="90"/>
        <w:jc w:val="both"/>
        <w:rPr>
          <w:rFonts w:eastAsia="Calibri" w:cstheme="minorHAnsi"/>
        </w:rPr>
      </w:pPr>
    </w:p>
    <w:tbl>
      <w:tblPr>
        <w:tblW w:w="5000" w:type="pct"/>
        <w:tblCellMar>
          <w:left w:w="0" w:type="dxa"/>
          <w:right w:w="0" w:type="dxa"/>
        </w:tblCellMar>
        <w:tblLook w:val="01E0" w:firstRow="1" w:lastRow="1" w:firstColumn="1" w:lastColumn="1" w:noHBand="0" w:noVBand="0"/>
      </w:tblPr>
      <w:tblGrid>
        <w:gridCol w:w="3324"/>
        <w:gridCol w:w="1862"/>
        <w:gridCol w:w="2081"/>
        <w:gridCol w:w="2081"/>
      </w:tblGrid>
      <w:tr w:rsidR="00576CD2" w:rsidRPr="00576CD2" w14:paraId="47E22B6C" w14:textId="4841C74D" w:rsidTr="000F779F">
        <w:trPr>
          <w:trHeight w:val="20"/>
          <w:tblHeader/>
        </w:trPr>
        <w:tc>
          <w:tcPr>
            <w:tcW w:w="5000"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1E87AFA3" w14:textId="299442A5" w:rsidR="000F779F" w:rsidRPr="00576CD2" w:rsidRDefault="000F779F" w:rsidP="006C774B">
            <w:pPr>
              <w:spacing w:after="0" w:line="240" w:lineRule="auto"/>
              <w:ind w:left="144"/>
              <w:rPr>
                <w:b/>
                <w:bCs/>
                <w:sz w:val="20"/>
                <w:szCs w:val="20"/>
              </w:rPr>
            </w:pPr>
            <w:bookmarkStart w:id="3" w:name="_Ref112944062"/>
            <w:bookmarkStart w:id="4" w:name="_Ref112698860"/>
            <w:r w:rsidRPr="00576CD2">
              <w:rPr>
                <w:b/>
                <w:bCs/>
                <w:sz w:val="20"/>
                <w:szCs w:val="20"/>
              </w:rPr>
              <w:t xml:space="preserve">Table </w:t>
            </w:r>
            <w:r w:rsidRPr="00576CD2">
              <w:rPr>
                <w:b/>
                <w:bCs/>
                <w:sz w:val="20"/>
                <w:szCs w:val="20"/>
              </w:rPr>
              <w:fldChar w:fldCharType="begin"/>
            </w:r>
            <w:r w:rsidRPr="00576CD2">
              <w:rPr>
                <w:b/>
                <w:bCs/>
                <w:sz w:val="20"/>
                <w:szCs w:val="20"/>
              </w:rPr>
              <w:instrText xml:space="preserve"> SEQ Table \* ARABIC </w:instrText>
            </w:r>
            <w:r w:rsidRPr="00576CD2">
              <w:rPr>
                <w:b/>
                <w:bCs/>
                <w:sz w:val="20"/>
                <w:szCs w:val="20"/>
              </w:rPr>
              <w:fldChar w:fldCharType="separate"/>
            </w:r>
            <w:r w:rsidR="007A0BFD">
              <w:rPr>
                <w:b/>
                <w:bCs/>
                <w:noProof/>
                <w:sz w:val="20"/>
                <w:szCs w:val="20"/>
              </w:rPr>
              <w:t>3</w:t>
            </w:r>
            <w:r w:rsidRPr="00576CD2">
              <w:rPr>
                <w:b/>
                <w:bCs/>
                <w:sz w:val="20"/>
                <w:szCs w:val="20"/>
              </w:rPr>
              <w:fldChar w:fldCharType="end"/>
            </w:r>
            <w:bookmarkEnd w:id="3"/>
            <w:r w:rsidRPr="00576CD2">
              <w:rPr>
                <w:rFonts w:cstheme="minorHAnsi"/>
                <w:b/>
                <w:bCs/>
                <w:sz w:val="20"/>
                <w:szCs w:val="20"/>
              </w:rPr>
              <w:t xml:space="preserve">: </w:t>
            </w:r>
            <w:r w:rsidRPr="00576CD2">
              <w:rPr>
                <w:b/>
                <w:bCs/>
                <w:sz w:val="20"/>
                <w:szCs w:val="20"/>
              </w:rPr>
              <w:t>TiGER RelayPro PAS Data</w:t>
            </w:r>
          </w:p>
        </w:tc>
      </w:tr>
      <w:bookmarkEnd w:id="4"/>
      <w:tr w:rsidR="00576CD2" w:rsidRPr="00576CD2" w14:paraId="71033B82" w14:textId="691D97E4" w:rsidTr="00722248">
        <w:trPr>
          <w:trHeight w:val="20"/>
          <w:tblHeader/>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41F1E911" w14:textId="51829D44" w:rsidR="00100184" w:rsidRPr="00576CD2" w:rsidRDefault="00100184" w:rsidP="00D33975">
            <w:pPr>
              <w:spacing w:after="0" w:line="240" w:lineRule="auto"/>
              <w:ind w:left="144"/>
              <w:rPr>
                <w:b/>
                <w:sz w:val="20"/>
                <w:szCs w:val="20"/>
              </w:rPr>
            </w:pP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887137B" w14:textId="77777777" w:rsidR="00100184" w:rsidRPr="00576CD2" w:rsidRDefault="00100184" w:rsidP="00D33975">
            <w:pPr>
              <w:spacing w:after="0" w:line="240" w:lineRule="auto"/>
              <w:ind w:left="144"/>
              <w:jc w:val="center"/>
              <w:rPr>
                <w:rFonts w:eastAsia="Calibri" w:cstheme="minorHAnsi"/>
                <w:sz w:val="20"/>
                <w:szCs w:val="20"/>
              </w:rPr>
            </w:pPr>
            <w:r w:rsidRPr="00576CD2">
              <w:rPr>
                <w:rFonts w:eastAsia="Calibri" w:cstheme="minorHAnsi"/>
                <w:b/>
                <w:sz w:val="20"/>
                <w:szCs w:val="20"/>
              </w:rPr>
              <w:t>30</w:t>
            </w:r>
            <w:r w:rsidRPr="00576CD2">
              <w:rPr>
                <w:rFonts w:eastAsia="Calibri" w:cstheme="minorHAnsi"/>
                <w:b/>
                <w:spacing w:val="-1"/>
                <w:sz w:val="20"/>
                <w:szCs w:val="20"/>
              </w:rPr>
              <w:t>-</w:t>
            </w:r>
            <w:r w:rsidRPr="00576CD2">
              <w:rPr>
                <w:rFonts w:eastAsia="Calibri" w:cstheme="minorHAnsi"/>
                <w:b/>
                <w:spacing w:val="1"/>
                <w:sz w:val="20"/>
                <w:szCs w:val="20"/>
              </w:rPr>
              <w:t>d</w:t>
            </w:r>
            <w:r w:rsidRPr="00576CD2">
              <w:rPr>
                <w:rFonts w:eastAsia="Calibri" w:cstheme="minorHAnsi"/>
                <w:b/>
                <w:sz w:val="20"/>
                <w:szCs w:val="20"/>
              </w:rPr>
              <w:t>a</w:t>
            </w:r>
            <w:r w:rsidRPr="00576CD2">
              <w:rPr>
                <w:rFonts w:eastAsia="Calibri" w:cstheme="minorHAnsi"/>
                <w:b/>
                <w:spacing w:val="2"/>
                <w:sz w:val="20"/>
                <w:szCs w:val="20"/>
              </w:rPr>
              <w:t>y</w:t>
            </w:r>
            <w:r w:rsidRPr="00576CD2">
              <w:rPr>
                <w:rFonts w:eastAsia="Calibri" w:cstheme="minorHAnsi"/>
                <w:b/>
                <w:sz w:val="20"/>
                <w:szCs w:val="20"/>
              </w:rPr>
              <w:t>s</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83EFA41" w14:textId="15AB9A83" w:rsidR="00100184" w:rsidRPr="00576CD2" w:rsidRDefault="00100184" w:rsidP="00D33975">
            <w:pPr>
              <w:spacing w:after="0" w:line="240" w:lineRule="auto"/>
              <w:ind w:left="144"/>
              <w:jc w:val="center"/>
              <w:rPr>
                <w:rFonts w:eastAsia="Calibri" w:cstheme="minorHAnsi"/>
                <w:b/>
                <w:sz w:val="20"/>
                <w:szCs w:val="20"/>
              </w:rPr>
            </w:pPr>
            <w:r w:rsidRPr="00576CD2">
              <w:rPr>
                <w:rFonts w:eastAsia="Calibri" w:cstheme="minorHAnsi"/>
                <w:b/>
                <w:sz w:val="20"/>
                <w:szCs w:val="20"/>
              </w:rPr>
              <w:t xml:space="preserve">1 Year </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F58F792" w14:textId="16139995" w:rsidR="00100184" w:rsidRPr="00576CD2" w:rsidRDefault="000F779F" w:rsidP="00D33975">
            <w:pPr>
              <w:spacing w:after="0" w:line="240" w:lineRule="auto"/>
              <w:ind w:left="144"/>
              <w:jc w:val="center"/>
              <w:rPr>
                <w:rFonts w:eastAsia="Calibri" w:cstheme="minorHAnsi"/>
                <w:b/>
                <w:sz w:val="20"/>
                <w:szCs w:val="20"/>
              </w:rPr>
            </w:pPr>
            <w:r w:rsidRPr="00576CD2">
              <w:rPr>
                <w:rFonts w:eastAsia="Calibri" w:cstheme="minorHAnsi"/>
                <w:b/>
                <w:sz w:val="20"/>
                <w:szCs w:val="20"/>
              </w:rPr>
              <w:t>Total</w:t>
            </w:r>
          </w:p>
        </w:tc>
      </w:tr>
      <w:tr w:rsidR="00576CD2" w:rsidRPr="00576CD2" w14:paraId="79CB436B" w14:textId="2BB022A0" w:rsidTr="00722248">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40EE4BD" w14:textId="77777777" w:rsidR="00100184" w:rsidRPr="00576CD2" w:rsidRDefault="00100184" w:rsidP="00F7686D">
            <w:pPr>
              <w:spacing w:after="0" w:line="240" w:lineRule="auto"/>
              <w:ind w:left="144" w:hanging="144"/>
              <w:rPr>
                <w:rFonts w:eastAsia="Calibri" w:cstheme="minorHAnsi"/>
                <w:sz w:val="20"/>
                <w:szCs w:val="20"/>
              </w:rPr>
            </w:pPr>
            <w:bookmarkStart w:id="5" w:name="_Hlk112675657"/>
            <w:r w:rsidRPr="00576CD2">
              <w:rPr>
                <w:rFonts w:eastAsia="Calibri" w:cstheme="minorHAnsi"/>
                <w:sz w:val="20"/>
                <w:szCs w:val="20"/>
              </w:rPr>
              <w:t>Eligible for Follow-up</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A69D989" w14:textId="4D812D95"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sz w:val="20"/>
                <w:szCs w:val="20"/>
              </w:rPr>
              <w:t>11</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C2844F3" w14:textId="1F754BE8"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sz w:val="20"/>
                <w:szCs w:val="20"/>
              </w:rPr>
              <w:t>7</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2D2C05" w14:textId="09F88CD6" w:rsidR="00100184" w:rsidRPr="00576CD2" w:rsidRDefault="00167796" w:rsidP="00F7686D">
            <w:pPr>
              <w:spacing w:after="0" w:line="240" w:lineRule="auto"/>
              <w:ind w:left="144"/>
              <w:jc w:val="center"/>
              <w:rPr>
                <w:rFonts w:eastAsia="Calibri" w:cstheme="minorHAnsi"/>
                <w:sz w:val="20"/>
                <w:szCs w:val="20"/>
              </w:rPr>
            </w:pPr>
            <w:r w:rsidRPr="00576CD2">
              <w:rPr>
                <w:rFonts w:eastAsia="Calibri" w:cstheme="minorHAnsi"/>
                <w:sz w:val="20"/>
                <w:szCs w:val="20"/>
              </w:rPr>
              <w:t>11</w:t>
            </w:r>
          </w:p>
        </w:tc>
      </w:tr>
      <w:tr w:rsidR="00576CD2" w:rsidRPr="00576CD2" w14:paraId="005F9F32" w14:textId="5ECCF427" w:rsidTr="004E0C75">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5E65A3C"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Su</w:t>
            </w:r>
            <w:r w:rsidRPr="00576CD2">
              <w:rPr>
                <w:rFonts w:eastAsia="Calibri" w:cstheme="minorHAnsi"/>
                <w:spacing w:val="1"/>
                <w:sz w:val="20"/>
                <w:szCs w:val="20"/>
              </w:rPr>
              <w:t>b</w:t>
            </w:r>
            <w:r w:rsidRPr="00576CD2">
              <w:rPr>
                <w:rFonts w:eastAsia="Calibri" w:cstheme="minorHAnsi"/>
                <w:sz w:val="20"/>
                <w:szCs w:val="20"/>
              </w:rPr>
              <w:t>je</w:t>
            </w:r>
            <w:r w:rsidRPr="00576CD2">
              <w:rPr>
                <w:rFonts w:eastAsia="Calibri" w:cstheme="minorHAnsi"/>
                <w:spacing w:val="-1"/>
                <w:sz w:val="20"/>
                <w:szCs w:val="20"/>
              </w:rPr>
              <w:t>c</w:t>
            </w:r>
            <w:r w:rsidRPr="00576CD2">
              <w:rPr>
                <w:rFonts w:eastAsia="Calibri" w:cstheme="minorHAnsi"/>
                <w:sz w:val="20"/>
                <w:szCs w:val="20"/>
              </w:rPr>
              <w:t>ts</w:t>
            </w:r>
            <w:r w:rsidRPr="00576CD2">
              <w:rPr>
                <w:rFonts w:eastAsia="Calibri" w:cstheme="minorHAnsi"/>
                <w:spacing w:val="-6"/>
                <w:sz w:val="20"/>
                <w:szCs w:val="20"/>
              </w:rPr>
              <w:t xml:space="preserve"> </w:t>
            </w:r>
            <w:r w:rsidRPr="00576CD2">
              <w:rPr>
                <w:rFonts w:eastAsia="Calibri" w:cstheme="minorHAnsi"/>
                <w:sz w:val="20"/>
                <w:szCs w:val="20"/>
              </w:rPr>
              <w:t>with</w:t>
            </w:r>
            <w:r w:rsidRPr="00576CD2">
              <w:rPr>
                <w:rFonts w:eastAsia="Calibri" w:cstheme="minorHAnsi"/>
                <w:spacing w:val="-3"/>
                <w:sz w:val="20"/>
                <w:szCs w:val="20"/>
              </w:rPr>
              <w:t xml:space="preserve"> visit </w:t>
            </w:r>
            <w:r w:rsidRPr="00576CD2">
              <w:rPr>
                <w:rFonts w:eastAsia="Calibri" w:cstheme="minorHAnsi"/>
                <w:spacing w:val="1"/>
                <w:sz w:val="20"/>
                <w:szCs w:val="20"/>
              </w:rPr>
              <w:t>d</w:t>
            </w:r>
            <w:r w:rsidRPr="00576CD2">
              <w:rPr>
                <w:rFonts w:eastAsia="Calibri" w:cstheme="minorHAnsi"/>
                <w:sz w:val="20"/>
                <w:szCs w:val="20"/>
              </w:rPr>
              <w:t>a</w:t>
            </w:r>
            <w:r w:rsidRPr="00576CD2">
              <w:rPr>
                <w:rFonts w:eastAsia="Calibri" w:cstheme="minorHAnsi"/>
                <w:spacing w:val="1"/>
                <w:sz w:val="20"/>
                <w:szCs w:val="20"/>
              </w:rPr>
              <w:t>t</w:t>
            </w:r>
            <w:r w:rsidRPr="00576CD2">
              <w:rPr>
                <w:rFonts w:eastAsia="Calibri" w:cstheme="minorHAnsi"/>
                <w:sz w:val="20"/>
                <w:szCs w:val="20"/>
              </w:rPr>
              <w:t>a</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12054BC" w14:textId="69DA257B"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sz w:val="20"/>
                <w:szCs w:val="20"/>
              </w:rPr>
              <w:t>6</w:t>
            </w:r>
            <w:r w:rsidRPr="00576CD2">
              <w:rPr>
                <w:rFonts w:eastAsia="Calibri" w:cstheme="minorHAnsi"/>
                <w:spacing w:val="-2"/>
                <w:sz w:val="20"/>
                <w:szCs w:val="20"/>
              </w:rPr>
              <w:t xml:space="preserve"> </w:t>
            </w:r>
            <w:r w:rsidRPr="00576CD2">
              <w:rPr>
                <w:rFonts w:eastAsia="Calibri" w:cstheme="minorHAnsi"/>
                <w:sz w:val="20"/>
                <w:szCs w:val="20"/>
              </w:rPr>
              <w:t>(54.5%,6/11)</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E0BCE37" w14:textId="699C543B"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sz w:val="20"/>
                <w:szCs w:val="20"/>
              </w:rPr>
              <w:t>1 (14.2%,1/7)</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7BF56C1" w14:textId="1743046F" w:rsidR="00100184" w:rsidRPr="00576CD2" w:rsidRDefault="00100184" w:rsidP="00F7686D">
            <w:pPr>
              <w:spacing w:after="0" w:line="240" w:lineRule="auto"/>
              <w:ind w:left="144"/>
              <w:jc w:val="center"/>
              <w:rPr>
                <w:rFonts w:eastAsia="Calibri" w:cstheme="minorHAnsi"/>
                <w:sz w:val="20"/>
                <w:szCs w:val="20"/>
              </w:rPr>
            </w:pPr>
          </w:p>
        </w:tc>
      </w:tr>
      <w:tr w:rsidR="00576CD2" w:rsidRPr="00576CD2" w14:paraId="19935DA6" w14:textId="44BC9BAB" w:rsidTr="004E0C75">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F6AEE0B" w14:textId="487A744B" w:rsidR="00100184" w:rsidRPr="00576CD2" w:rsidRDefault="00100184" w:rsidP="00F7686D">
            <w:pPr>
              <w:spacing w:after="0" w:line="240" w:lineRule="auto"/>
              <w:ind w:left="720"/>
              <w:rPr>
                <w:rFonts w:eastAsia="Calibri" w:cstheme="minorHAnsi"/>
                <w:sz w:val="20"/>
                <w:szCs w:val="20"/>
              </w:rPr>
            </w:pPr>
            <w:r w:rsidRPr="00576CD2">
              <w:rPr>
                <w:rFonts w:eastAsia="Calibri" w:cstheme="minorHAnsi"/>
                <w:sz w:val="20"/>
                <w:szCs w:val="20"/>
              </w:rPr>
              <w:t>Su</w:t>
            </w:r>
            <w:r w:rsidRPr="00576CD2">
              <w:rPr>
                <w:rFonts w:eastAsia="Calibri" w:cstheme="minorHAnsi"/>
                <w:spacing w:val="1"/>
                <w:sz w:val="20"/>
                <w:szCs w:val="20"/>
              </w:rPr>
              <w:t>b</w:t>
            </w:r>
            <w:r w:rsidRPr="00576CD2">
              <w:rPr>
                <w:rFonts w:eastAsia="Calibri" w:cstheme="minorHAnsi"/>
                <w:sz w:val="20"/>
                <w:szCs w:val="20"/>
              </w:rPr>
              <w:t>je</w:t>
            </w:r>
            <w:r w:rsidRPr="00576CD2">
              <w:rPr>
                <w:rFonts w:eastAsia="Calibri" w:cstheme="minorHAnsi"/>
                <w:spacing w:val="-1"/>
                <w:sz w:val="20"/>
                <w:szCs w:val="20"/>
              </w:rPr>
              <w:t>c</w:t>
            </w:r>
            <w:r w:rsidRPr="00576CD2">
              <w:rPr>
                <w:rFonts w:eastAsia="Calibri" w:cstheme="minorHAnsi"/>
                <w:sz w:val="20"/>
                <w:szCs w:val="20"/>
              </w:rPr>
              <w:t>ts</w:t>
            </w:r>
            <w:r w:rsidRPr="00576CD2">
              <w:rPr>
                <w:rFonts w:eastAsia="Calibri" w:cstheme="minorHAnsi"/>
                <w:spacing w:val="-6"/>
                <w:sz w:val="20"/>
                <w:szCs w:val="20"/>
              </w:rPr>
              <w:t xml:space="preserve"> </w:t>
            </w:r>
            <w:r w:rsidRPr="00576CD2">
              <w:rPr>
                <w:rFonts w:eastAsia="Calibri" w:cstheme="minorHAnsi"/>
                <w:sz w:val="20"/>
                <w:szCs w:val="20"/>
              </w:rPr>
              <w:t>with</w:t>
            </w:r>
            <w:r w:rsidRPr="00576CD2">
              <w:rPr>
                <w:rFonts w:eastAsia="Calibri" w:cstheme="minorHAnsi"/>
                <w:spacing w:val="-3"/>
                <w:sz w:val="20"/>
                <w:szCs w:val="20"/>
              </w:rPr>
              <w:t xml:space="preserve"> </w:t>
            </w:r>
            <w:r w:rsidRPr="00576CD2">
              <w:rPr>
                <w:rFonts w:eastAsia="Calibri" w:cstheme="minorHAnsi"/>
                <w:sz w:val="20"/>
                <w:szCs w:val="20"/>
              </w:rPr>
              <w:t xml:space="preserve">Imaging data </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43B14A1" w14:textId="5FFD969B"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sz w:val="20"/>
                <w:szCs w:val="20"/>
              </w:rPr>
              <w:t>6</w:t>
            </w:r>
            <w:r w:rsidRPr="00576CD2">
              <w:rPr>
                <w:rFonts w:eastAsia="Calibri" w:cstheme="minorHAnsi"/>
                <w:spacing w:val="-2"/>
                <w:sz w:val="20"/>
                <w:szCs w:val="20"/>
              </w:rPr>
              <w:t xml:space="preserve"> </w:t>
            </w:r>
            <w:r w:rsidRPr="00576CD2">
              <w:rPr>
                <w:rFonts w:eastAsia="Calibri" w:cstheme="minorHAnsi"/>
                <w:sz w:val="20"/>
                <w:szCs w:val="20"/>
              </w:rPr>
              <w:t>(54.5%,6/11)</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5938909" w14:textId="28D12D13"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sz w:val="20"/>
                <w:szCs w:val="20"/>
              </w:rPr>
              <w:t>1 (14.2%,1/7)</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2ACD507" w14:textId="010DC89B" w:rsidR="00100184" w:rsidRPr="00576CD2" w:rsidRDefault="00100184" w:rsidP="00F7686D">
            <w:pPr>
              <w:spacing w:after="0" w:line="240" w:lineRule="auto"/>
              <w:ind w:left="144"/>
              <w:jc w:val="center"/>
              <w:rPr>
                <w:rFonts w:eastAsia="Calibri" w:cstheme="minorHAnsi"/>
                <w:sz w:val="20"/>
                <w:szCs w:val="20"/>
              </w:rPr>
            </w:pPr>
          </w:p>
        </w:tc>
      </w:tr>
      <w:bookmarkEnd w:id="5"/>
      <w:tr w:rsidR="00576CD2" w:rsidRPr="00576CD2" w14:paraId="5FCA21A8" w14:textId="6E4DC90C" w:rsidTr="00722248">
        <w:trPr>
          <w:trHeight w:val="20"/>
        </w:trPr>
        <w:tc>
          <w:tcPr>
            <w:tcW w:w="1778" w:type="pct"/>
            <w:tcBorders>
              <w:top w:val="single" w:sz="5" w:space="0" w:color="000000" w:themeColor="text1"/>
              <w:left w:val="single" w:sz="5" w:space="0" w:color="000000" w:themeColor="text1"/>
              <w:bottom w:val="nil"/>
              <w:right w:val="single" w:sz="5" w:space="0" w:color="000000" w:themeColor="text1"/>
            </w:tcBorders>
            <w:shd w:val="clear" w:color="auto" w:fill="D9D9D9" w:themeFill="background1" w:themeFillShade="D9"/>
            <w:vAlign w:val="center"/>
          </w:tcPr>
          <w:p w14:paraId="6A09F5B7" w14:textId="77777777" w:rsidR="00100184" w:rsidRPr="00576CD2" w:rsidRDefault="00100184" w:rsidP="00F7686D">
            <w:pPr>
              <w:spacing w:after="0" w:line="240" w:lineRule="auto"/>
              <w:ind w:left="144" w:hanging="144"/>
              <w:rPr>
                <w:rFonts w:eastAsia="Calibri" w:cstheme="minorHAnsi"/>
                <w:b/>
                <w:bCs/>
                <w:sz w:val="20"/>
                <w:szCs w:val="20"/>
              </w:rPr>
            </w:pPr>
            <w:r w:rsidRPr="00576CD2">
              <w:rPr>
                <w:rFonts w:eastAsia="Calibri" w:cstheme="minorHAnsi"/>
                <w:b/>
                <w:bCs/>
                <w:sz w:val="20"/>
                <w:szCs w:val="20"/>
              </w:rPr>
              <w:t>Events</w:t>
            </w:r>
          </w:p>
        </w:tc>
        <w:tc>
          <w:tcPr>
            <w:tcW w:w="996" w:type="pct"/>
            <w:tcBorders>
              <w:top w:val="single" w:sz="5" w:space="0" w:color="000000" w:themeColor="text1"/>
              <w:left w:val="single" w:sz="5" w:space="0" w:color="000000" w:themeColor="text1"/>
              <w:bottom w:val="nil"/>
              <w:right w:val="single" w:sz="5" w:space="0" w:color="000000" w:themeColor="text1"/>
            </w:tcBorders>
            <w:shd w:val="clear" w:color="auto" w:fill="D9D9D9" w:themeFill="background1" w:themeFillShade="D9"/>
            <w:vAlign w:val="center"/>
          </w:tcPr>
          <w:p w14:paraId="1B246F2F" w14:textId="77777777" w:rsidR="00100184" w:rsidRPr="00576CD2" w:rsidRDefault="00100184" w:rsidP="00F7686D">
            <w:pPr>
              <w:spacing w:after="0" w:line="240" w:lineRule="auto"/>
              <w:ind w:left="144"/>
              <w:jc w:val="center"/>
              <w:rPr>
                <w:rFonts w:eastAsia="Calibri" w:cstheme="minorHAnsi"/>
                <w:b/>
                <w:bCs/>
                <w:sz w:val="20"/>
                <w:szCs w:val="20"/>
              </w:rPr>
            </w:pPr>
          </w:p>
        </w:tc>
        <w:tc>
          <w:tcPr>
            <w:tcW w:w="1113" w:type="pct"/>
            <w:tcBorders>
              <w:top w:val="single" w:sz="5" w:space="0" w:color="000000" w:themeColor="text1"/>
              <w:left w:val="single" w:sz="5" w:space="0" w:color="000000" w:themeColor="text1"/>
              <w:bottom w:val="nil"/>
              <w:right w:val="single" w:sz="5" w:space="0" w:color="000000" w:themeColor="text1"/>
            </w:tcBorders>
            <w:shd w:val="clear" w:color="auto" w:fill="D9D9D9" w:themeFill="background1" w:themeFillShade="D9"/>
          </w:tcPr>
          <w:p w14:paraId="089A8C69" w14:textId="77777777" w:rsidR="00100184" w:rsidRPr="00576CD2" w:rsidRDefault="00100184" w:rsidP="00F7686D">
            <w:pPr>
              <w:spacing w:after="0" w:line="240" w:lineRule="auto"/>
              <w:ind w:left="144"/>
              <w:jc w:val="center"/>
              <w:rPr>
                <w:rFonts w:eastAsia="Calibri" w:cstheme="minorHAnsi"/>
                <w:b/>
                <w:bCs/>
                <w:sz w:val="20"/>
                <w:szCs w:val="20"/>
              </w:rPr>
            </w:pPr>
          </w:p>
        </w:tc>
        <w:tc>
          <w:tcPr>
            <w:tcW w:w="1113" w:type="pct"/>
            <w:tcBorders>
              <w:top w:val="single" w:sz="5" w:space="0" w:color="000000" w:themeColor="text1"/>
              <w:left w:val="single" w:sz="5" w:space="0" w:color="000000" w:themeColor="text1"/>
              <w:bottom w:val="nil"/>
              <w:right w:val="single" w:sz="5" w:space="0" w:color="000000" w:themeColor="text1"/>
            </w:tcBorders>
            <w:shd w:val="clear" w:color="auto" w:fill="D9D9D9" w:themeFill="background1" w:themeFillShade="D9"/>
          </w:tcPr>
          <w:p w14:paraId="3926CBF1" w14:textId="77777777" w:rsidR="00100184" w:rsidRPr="00576CD2" w:rsidRDefault="00100184" w:rsidP="00F7686D">
            <w:pPr>
              <w:spacing w:after="0" w:line="240" w:lineRule="auto"/>
              <w:ind w:left="144"/>
              <w:jc w:val="center"/>
              <w:rPr>
                <w:rFonts w:eastAsia="Calibri" w:cstheme="minorHAnsi"/>
                <w:b/>
                <w:bCs/>
                <w:sz w:val="20"/>
                <w:szCs w:val="20"/>
              </w:rPr>
            </w:pPr>
          </w:p>
        </w:tc>
      </w:tr>
      <w:tr w:rsidR="00576CD2" w:rsidRPr="00576CD2" w14:paraId="6B2416F2" w14:textId="49FC5434" w:rsidTr="00722248">
        <w:trPr>
          <w:trHeight w:val="20"/>
        </w:trPr>
        <w:tc>
          <w:tcPr>
            <w:tcW w:w="1778" w:type="pct"/>
            <w:tcBorders>
              <w:top w:val="single" w:sz="5" w:space="0" w:color="000000" w:themeColor="text1"/>
              <w:left w:val="single" w:sz="5" w:space="0" w:color="000000" w:themeColor="text1"/>
              <w:bottom w:val="nil"/>
              <w:right w:val="single" w:sz="5" w:space="0" w:color="000000" w:themeColor="text1"/>
            </w:tcBorders>
            <w:vAlign w:val="center"/>
          </w:tcPr>
          <w:p w14:paraId="687A2416"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A</w:t>
            </w:r>
            <w:r w:rsidRPr="00576CD2">
              <w:rPr>
                <w:rFonts w:eastAsia="Calibri" w:cstheme="minorHAnsi"/>
                <w:spacing w:val="1"/>
                <w:sz w:val="20"/>
                <w:szCs w:val="20"/>
              </w:rPr>
              <w:t>n</w:t>
            </w:r>
            <w:r w:rsidRPr="00576CD2">
              <w:rPr>
                <w:rFonts w:eastAsia="Calibri" w:cstheme="minorHAnsi"/>
                <w:spacing w:val="-1"/>
                <w:sz w:val="20"/>
                <w:szCs w:val="20"/>
              </w:rPr>
              <w:t>e</w:t>
            </w:r>
            <w:r w:rsidRPr="00576CD2">
              <w:rPr>
                <w:rFonts w:eastAsia="Calibri" w:cstheme="minorHAnsi"/>
                <w:spacing w:val="1"/>
                <w:sz w:val="20"/>
                <w:szCs w:val="20"/>
              </w:rPr>
              <w:t>u</w:t>
            </w:r>
            <w:r w:rsidRPr="00576CD2">
              <w:rPr>
                <w:rFonts w:eastAsia="Calibri" w:cstheme="minorHAnsi"/>
                <w:sz w:val="20"/>
                <w:szCs w:val="20"/>
              </w:rPr>
              <w:t>r</w:t>
            </w:r>
            <w:r w:rsidRPr="00576CD2">
              <w:rPr>
                <w:rFonts w:eastAsia="Calibri" w:cstheme="minorHAnsi"/>
                <w:spacing w:val="1"/>
                <w:sz w:val="20"/>
                <w:szCs w:val="20"/>
              </w:rPr>
              <w:t>ys</w:t>
            </w:r>
            <w:r w:rsidRPr="00576CD2">
              <w:rPr>
                <w:rFonts w:eastAsia="Calibri" w:cstheme="minorHAnsi"/>
                <w:sz w:val="20"/>
                <w:szCs w:val="20"/>
              </w:rPr>
              <w:t>m</w:t>
            </w:r>
            <w:r w:rsidRPr="00576CD2">
              <w:rPr>
                <w:rFonts w:eastAsia="Calibri" w:cstheme="minorHAnsi"/>
                <w:spacing w:val="-1"/>
                <w:sz w:val="20"/>
                <w:szCs w:val="20"/>
              </w:rPr>
              <w:t>-</w:t>
            </w:r>
            <w:r w:rsidRPr="00576CD2">
              <w:rPr>
                <w:rFonts w:eastAsia="Calibri" w:cstheme="minorHAnsi"/>
                <w:sz w:val="20"/>
                <w:szCs w:val="20"/>
              </w:rPr>
              <w:t>r</w:t>
            </w:r>
            <w:r w:rsidRPr="00576CD2">
              <w:rPr>
                <w:rFonts w:eastAsia="Calibri" w:cstheme="minorHAnsi"/>
                <w:spacing w:val="-1"/>
                <w:sz w:val="20"/>
                <w:szCs w:val="20"/>
              </w:rPr>
              <w:t>e</w:t>
            </w:r>
            <w:r w:rsidRPr="00576CD2">
              <w:rPr>
                <w:rFonts w:eastAsia="Calibri" w:cstheme="minorHAnsi"/>
                <w:sz w:val="20"/>
                <w:szCs w:val="20"/>
              </w:rPr>
              <w:t>la</w:t>
            </w:r>
            <w:r w:rsidRPr="00576CD2">
              <w:rPr>
                <w:rFonts w:eastAsia="Calibri" w:cstheme="minorHAnsi"/>
                <w:spacing w:val="3"/>
                <w:sz w:val="20"/>
                <w:szCs w:val="20"/>
              </w:rPr>
              <w:t>t</w:t>
            </w:r>
            <w:r w:rsidRPr="00576CD2">
              <w:rPr>
                <w:rFonts w:eastAsia="Calibri" w:cstheme="minorHAnsi"/>
                <w:spacing w:val="-1"/>
                <w:sz w:val="20"/>
                <w:szCs w:val="20"/>
              </w:rPr>
              <w:t>e</w:t>
            </w:r>
            <w:r w:rsidRPr="00576CD2">
              <w:rPr>
                <w:rFonts w:eastAsia="Calibri" w:cstheme="minorHAnsi"/>
                <w:sz w:val="20"/>
                <w:szCs w:val="20"/>
              </w:rPr>
              <w:t>d Mortality</w:t>
            </w:r>
          </w:p>
        </w:tc>
        <w:tc>
          <w:tcPr>
            <w:tcW w:w="996" w:type="pct"/>
            <w:tcBorders>
              <w:top w:val="single" w:sz="5" w:space="0" w:color="000000" w:themeColor="text1"/>
              <w:left w:val="single" w:sz="5" w:space="0" w:color="000000" w:themeColor="text1"/>
              <w:bottom w:val="nil"/>
              <w:right w:val="single" w:sz="5" w:space="0" w:color="000000" w:themeColor="text1"/>
            </w:tcBorders>
          </w:tcPr>
          <w:p w14:paraId="30C75C13" w14:textId="235376EA"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nil"/>
              <w:right w:val="single" w:sz="5" w:space="0" w:color="000000" w:themeColor="text1"/>
            </w:tcBorders>
          </w:tcPr>
          <w:p w14:paraId="4440C6D9" w14:textId="508F035B"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nil"/>
              <w:right w:val="single" w:sz="5" w:space="0" w:color="000000" w:themeColor="text1"/>
            </w:tcBorders>
          </w:tcPr>
          <w:p w14:paraId="70373C95" w14:textId="1D3D2271" w:rsidR="00100184" w:rsidRPr="00576CD2" w:rsidRDefault="000F779F"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0D856FF8" w14:textId="5F3604DB" w:rsidTr="00722248">
        <w:trPr>
          <w:trHeight w:val="20"/>
        </w:trPr>
        <w:tc>
          <w:tcPr>
            <w:tcW w:w="1778" w:type="pct"/>
            <w:tcBorders>
              <w:top w:val="single" w:sz="5" w:space="0" w:color="000000" w:themeColor="text1"/>
              <w:left w:val="single" w:sz="5" w:space="0" w:color="000000" w:themeColor="text1"/>
              <w:right w:val="single" w:sz="5" w:space="0" w:color="000000" w:themeColor="text1"/>
            </w:tcBorders>
            <w:vAlign w:val="center"/>
          </w:tcPr>
          <w:p w14:paraId="62913E25"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All</w:t>
            </w:r>
            <w:r w:rsidRPr="00576CD2">
              <w:rPr>
                <w:rFonts w:eastAsia="Calibri" w:cstheme="minorHAnsi"/>
                <w:spacing w:val="-1"/>
                <w:sz w:val="20"/>
                <w:szCs w:val="20"/>
              </w:rPr>
              <w:t>-</w:t>
            </w:r>
            <w:r w:rsidRPr="00576CD2">
              <w:rPr>
                <w:rFonts w:eastAsia="Calibri" w:cstheme="minorHAnsi"/>
                <w:sz w:val="20"/>
                <w:szCs w:val="20"/>
              </w:rPr>
              <w:t>ca</w:t>
            </w:r>
            <w:r w:rsidRPr="00576CD2">
              <w:rPr>
                <w:rFonts w:eastAsia="Calibri" w:cstheme="minorHAnsi"/>
                <w:spacing w:val="1"/>
                <w:sz w:val="20"/>
                <w:szCs w:val="20"/>
              </w:rPr>
              <w:t>us</w:t>
            </w:r>
            <w:r w:rsidRPr="00576CD2">
              <w:rPr>
                <w:rFonts w:eastAsia="Calibri" w:cstheme="minorHAnsi"/>
                <w:sz w:val="20"/>
                <w:szCs w:val="20"/>
              </w:rPr>
              <w:t>e</w:t>
            </w:r>
            <w:r w:rsidRPr="00576CD2">
              <w:rPr>
                <w:rFonts w:eastAsia="Calibri" w:cstheme="minorHAnsi"/>
                <w:spacing w:val="-8"/>
                <w:sz w:val="20"/>
                <w:szCs w:val="20"/>
              </w:rPr>
              <w:t xml:space="preserve"> </w:t>
            </w:r>
            <w:r w:rsidRPr="00576CD2">
              <w:rPr>
                <w:rFonts w:eastAsia="Calibri" w:cstheme="minorHAnsi"/>
                <w:sz w:val="20"/>
                <w:szCs w:val="20"/>
              </w:rPr>
              <w:t>Mort</w:t>
            </w:r>
            <w:r w:rsidRPr="00576CD2">
              <w:rPr>
                <w:rFonts w:eastAsia="Calibri" w:cstheme="minorHAnsi"/>
                <w:spacing w:val="1"/>
                <w:sz w:val="20"/>
                <w:szCs w:val="20"/>
              </w:rPr>
              <w:t>a</w:t>
            </w:r>
            <w:r w:rsidRPr="00576CD2">
              <w:rPr>
                <w:rFonts w:eastAsia="Calibri" w:cstheme="minorHAnsi"/>
                <w:sz w:val="20"/>
                <w:szCs w:val="20"/>
              </w:rPr>
              <w:t>lity</w:t>
            </w:r>
          </w:p>
        </w:tc>
        <w:tc>
          <w:tcPr>
            <w:tcW w:w="996" w:type="pct"/>
            <w:tcBorders>
              <w:top w:val="single" w:sz="5" w:space="0" w:color="000000" w:themeColor="text1"/>
              <w:left w:val="single" w:sz="5" w:space="0" w:color="000000" w:themeColor="text1"/>
              <w:right w:val="single" w:sz="5" w:space="0" w:color="000000" w:themeColor="text1"/>
            </w:tcBorders>
          </w:tcPr>
          <w:p w14:paraId="7909F192" w14:textId="7787BD18"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56689895" w14:textId="1980945A"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3665270B" w14:textId="25BAE3A5" w:rsidR="00100184" w:rsidRPr="00576CD2" w:rsidRDefault="000F779F"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456ADB42" w14:textId="60287D46" w:rsidTr="00722248">
        <w:trPr>
          <w:trHeight w:val="300"/>
        </w:trPr>
        <w:tc>
          <w:tcPr>
            <w:tcW w:w="1778" w:type="pct"/>
            <w:tcBorders>
              <w:top w:val="single" w:sz="5" w:space="0" w:color="000000" w:themeColor="text1"/>
              <w:left w:val="single" w:sz="5" w:space="0" w:color="000000" w:themeColor="text1"/>
              <w:right w:val="single" w:sz="5" w:space="0" w:color="000000" w:themeColor="text1"/>
            </w:tcBorders>
            <w:vAlign w:val="center"/>
          </w:tcPr>
          <w:p w14:paraId="53252F5F"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Maj</w:t>
            </w:r>
            <w:r w:rsidRPr="00576CD2">
              <w:rPr>
                <w:rFonts w:eastAsia="Calibri" w:cstheme="minorHAnsi"/>
                <w:spacing w:val="1"/>
                <w:sz w:val="20"/>
                <w:szCs w:val="20"/>
              </w:rPr>
              <w:t>o</w:t>
            </w:r>
            <w:r w:rsidRPr="00576CD2">
              <w:rPr>
                <w:rFonts w:eastAsia="Calibri" w:cstheme="minorHAnsi"/>
                <w:sz w:val="20"/>
                <w:szCs w:val="20"/>
              </w:rPr>
              <w:t>r</w:t>
            </w:r>
            <w:r w:rsidRPr="00576CD2">
              <w:rPr>
                <w:rFonts w:eastAsia="Calibri" w:cstheme="minorHAnsi"/>
                <w:spacing w:val="-5"/>
                <w:sz w:val="20"/>
                <w:szCs w:val="20"/>
              </w:rPr>
              <w:t xml:space="preserve"> </w:t>
            </w:r>
            <w:r w:rsidRPr="00576CD2">
              <w:rPr>
                <w:rFonts w:eastAsia="Calibri" w:cstheme="minorHAnsi"/>
                <w:sz w:val="20"/>
                <w:szCs w:val="20"/>
              </w:rPr>
              <w:t>A</w:t>
            </w:r>
            <w:r w:rsidRPr="00576CD2">
              <w:rPr>
                <w:rFonts w:eastAsia="Calibri" w:cstheme="minorHAnsi"/>
                <w:spacing w:val="1"/>
                <w:sz w:val="20"/>
                <w:szCs w:val="20"/>
              </w:rPr>
              <w:t>dv</w:t>
            </w:r>
            <w:r w:rsidRPr="00576CD2">
              <w:rPr>
                <w:rFonts w:eastAsia="Calibri" w:cstheme="minorHAnsi"/>
                <w:spacing w:val="-1"/>
                <w:sz w:val="20"/>
                <w:szCs w:val="20"/>
              </w:rPr>
              <w:t>e</w:t>
            </w:r>
            <w:r w:rsidRPr="00576CD2">
              <w:rPr>
                <w:rFonts w:eastAsia="Calibri" w:cstheme="minorHAnsi"/>
                <w:sz w:val="20"/>
                <w:szCs w:val="20"/>
              </w:rPr>
              <w:t>r</w:t>
            </w:r>
            <w:r w:rsidRPr="00576CD2">
              <w:rPr>
                <w:rFonts w:eastAsia="Calibri" w:cstheme="minorHAnsi"/>
                <w:spacing w:val="1"/>
                <w:sz w:val="20"/>
                <w:szCs w:val="20"/>
              </w:rPr>
              <w:t>s</w:t>
            </w:r>
            <w:r w:rsidRPr="00576CD2">
              <w:rPr>
                <w:rFonts w:eastAsia="Calibri" w:cstheme="minorHAnsi"/>
                <w:sz w:val="20"/>
                <w:szCs w:val="20"/>
              </w:rPr>
              <w:t>e</w:t>
            </w:r>
            <w:r w:rsidRPr="00576CD2">
              <w:rPr>
                <w:rFonts w:eastAsia="Calibri" w:cstheme="minorHAnsi"/>
                <w:spacing w:val="-8"/>
                <w:sz w:val="20"/>
                <w:szCs w:val="20"/>
              </w:rPr>
              <w:t xml:space="preserve"> </w:t>
            </w:r>
            <w:r w:rsidRPr="00576CD2">
              <w:rPr>
                <w:rFonts w:eastAsia="Calibri" w:cstheme="minorHAnsi"/>
                <w:spacing w:val="2"/>
                <w:sz w:val="20"/>
                <w:szCs w:val="20"/>
              </w:rPr>
              <w:t>E</w:t>
            </w:r>
            <w:r w:rsidRPr="00576CD2">
              <w:rPr>
                <w:rFonts w:eastAsia="Calibri" w:cstheme="minorHAnsi"/>
                <w:spacing w:val="1"/>
                <w:sz w:val="20"/>
                <w:szCs w:val="20"/>
              </w:rPr>
              <w:t>v</w:t>
            </w:r>
            <w:r w:rsidRPr="00576CD2">
              <w:rPr>
                <w:rFonts w:eastAsia="Calibri" w:cstheme="minorHAnsi"/>
                <w:spacing w:val="-1"/>
                <w:sz w:val="20"/>
                <w:szCs w:val="20"/>
              </w:rPr>
              <w:t>e</w:t>
            </w:r>
            <w:r w:rsidRPr="00576CD2">
              <w:rPr>
                <w:rFonts w:eastAsia="Calibri" w:cstheme="minorHAnsi"/>
                <w:spacing w:val="1"/>
                <w:sz w:val="20"/>
                <w:szCs w:val="20"/>
              </w:rPr>
              <w:t>n</w:t>
            </w:r>
            <w:r w:rsidRPr="00576CD2">
              <w:rPr>
                <w:rFonts w:eastAsia="Calibri" w:cstheme="minorHAnsi"/>
                <w:sz w:val="20"/>
                <w:szCs w:val="20"/>
              </w:rPr>
              <w:t>ts</w:t>
            </w:r>
          </w:p>
        </w:tc>
        <w:tc>
          <w:tcPr>
            <w:tcW w:w="996" w:type="pct"/>
            <w:tcBorders>
              <w:top w:val="single" w:sz="5" w:space="0" w:color="000000" w:themeColor="text1"/>
              <w:left w:val="single" w:sz="5" w:space="0" w:color="000000" w:themeColor="text1"/>
              <w:right w:val="single" w:sz="5" w:space="0" w:color="000000" w:themeColor="text1"/>
            </w:tcBorders>
          </w:tcPr>
          <w:p w14:paraId="549724C7" w14:textId="308C6266"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2 (18.2%,2/11)</w:t>
            </w:r>
          </w:p>
        </w:tc>
        <w:tc>
          <w:tcPr>
            <w:tcW w:w="1113" w:type="pct"/>
            <w:tcBorders>
              <w:top w:val="single" w:sz="5" w:space="0" w:color="000000" w:themeColor="text1"/>
              <w:left w:val="single" w:sz="5" w:space="0" w:color="000000" w:themeColor="text1"/>
              <w:right w:val="single" w:sz="5" w:space="0" w:color="000000" w:themeColor="text1"/>
            </w:tcBorders>
          </w:tcPr>
          <w:p w14:paraId="59738736" w14:textId="2D0F814E"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0C5ACA9D" w14:textId="5E45CED1" w:rsidR="00100184" w:rsidRPr="00576CD2" w:rsidRDefault="00AD081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1</w:t>
            </w:r>
          </w:p>
        </w:tc>
      </w:tr>
      <w:tr w:rsidR="00576CD2" w:rsidRPr="00576CD2" w14:paraId="354CF5AB" w14:textId="762B20ED" w:rsidTr="00722248">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F6A3B35"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A</w:t>
            </w:r>
            <w:r w:rsidRPr="00576CD2">
              <w:rPr>
                <w:rFonts w:eastAsia="Calibri" w:cstheme="minorHAnsi"/>
                <w:spacing w:val="1"/>
                <w:sz w:val="20"/>
                <w:szCs w:val="20"/>
              </w:rPr>
              <w:t>n</w:t>
            </w:r>
            <w:r w:rsidRPr="00576CD2">
              <w:rPr>
                <w:rFonts w:eastAsia="Calibri" w:cstheme="minorHAnsi"/>
                <w:spacing w:val="-1"/>
                <w:sz w:val="20"/>
                <w:szCs w:val="20"/>
              </w:rPr>
              <w:t>e</w:t>
            </w:r>
            <w:r w:rsidRPr="00576CD2">
              <w:rPr>
                <w:rFonts w:eastAsia="Calibri" w:cstheme="minorHAnsi"/>
                <w:spacing w:val="1"/>
                <w:sz w:val="20"/>
                <w:szCs w:val="20"/>
              </w:rPr>
              <w:t>u</w:t>
            </w:r>
            <w:r w:rsidRPr="00576CD2">
              <w:rPr>
                <w:rFonts w:eastAsia="Calibri" w:cstheme="minorHAnsi"/>
                <w:sz w:val="20"/>
                <w:szCs w:val="20"/>
              </w:rPr>
              <w:t>r</w:t>
            </w:r>
            <w:r w:rsidRPr="00576CD2">
              <w:rPr>
                <w:rFonts w:eastAsia="Calibri" w:cstheme="minorHAnsi"/>
                <w:spacing w:val="1"/>
                <w:sz w:val="20"/>
                <w:szCs w:val="20"/>
              </w:rPr>
              <w:t>ys</w:t>
            </w:r>
            <w:r w:rsidRPr="00576CD2">
              <w:rPr>
                <w:rFonts w:eastAsia="Calibri" w:cstheme="minorHAnsi"/>
                <w:sz w:val="20"/>
                <w:szCs w:val="20"/>
              </w:rPr>
              <w:t>m</w:t>
            </w:r>
            <w:r w:rsidRPr="00576CD2">
              <w:rPr>
                <w:rFonts w:eastAsia="Calibri" w:cstheme="minorHAnsi"/>
                <w:spacing w:val="-7"/>
                <w:sz w:val="20"/>
                <w:szCs w:val="20"/>
              </w:rPr>
              <w:t xml:space="preserve"> </w:t>
            </w:r>
            <w:r w:rsidRPr="00576CD2">
              <w:rPr>
                <w:rFonts w:eastAsia="Calibri" w:cstheme="minorHAnsi"/>
                <w:sz w:val="20"/>
                <w:szCs w:val="20"/>
              </w:rPr>
              <w:t>R</w:t>
            </w:r>
            <w:r w:rsidRPr="00576CD2">
              <w:rPr>
                <w:rFonts w:eastAsia="Calibri" w:cstheme="minorHAnsi"/>
                <w:spacing w:val="1"/>
                <w:sz w:val="20"/>
                <w:szCs w:val="20"/>
              </w:rPr>
              <w:t>up</w:t>
            </w:r>
            <w:r w:rsidRPr="00576CD2">
              <w:rPr>
                <w:rFonts w:eastAsia="Calibri" w:cstheme="minorHAnsi"/>
                <w:sz w:val="20"/>
                <w:szCs w:val="20"/>
              </w:rPr>
              <w:t>t</w:t>
            </w:r>
            <w:r w:rsidRPr="00576CD2">
              <w:rPr>
                <w:rFonts w:eastAsia="Calibri" w:cstheme="minorHAnsi"/>
                <w:spacing w:val="1"/>
                <w:sz w:val="20"/>
                <w:szCs w:val="20"/>
              </w:rPr>
              <w:t>u</w:t>
            </w:r>
            <w:r w:rsidRPr="00576CD2">
              <w:rPr>
                <w:rFonts w:eastAsia="Calibri" w:cstheme="minorHAnsi"/>
                <w:sz w:val="20"/>
                <w:szCs w:val="20"/>
              </w:rPr>
              <w:t>re</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6E3DFE"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5DA498" w14:textId="46E04741"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9B22F3" w14:textId="153AD8A4" w:rsidR="00100184" w:rsidRPr="00576CD2" w:rsidRDefault="000F779F"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245D237B" w14:textId="72F3BF36" w:rsidTr="00722248">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796408"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Co</w:t>
            </w:r>
            <w:r w:rsidRPr="00576CD2">
              <w:rPr>
                <w:rFonts w:eastAsia="Calibri" w:cstheme="minorHAnsi"/>
                <w:spacing w:val="1"/>
                <w:sz w:val="20"/>
                <w:szCs w:val="20"/>
              </w:rPr>
              <w:t>nv</w:t>
            </w:r>
            <w:r w:rsidRPr="00576CD2">
              <w:rPr>
                <w:rFonts w:eastAsia="Calibri" w:cstheme="minorHAnsi"/>
                <w:spacing w:val="-1"/>
                <w:sz w:val="20"/>
                <w:szCs w:val="20"/>
              </w:rPr>
              <w:t>e</w:t>
            </w:r>
            <w:r w:rsidRPr="00576CD2">
              <w:rPr>
                <w:rFonts w:eastAsia="Calibri" w:cstheme="minorHAnsi"/>
                <w:sz w:val="20"/>
                <w:szCs w:val="20"/>
              </w:rPr>
              <w:t>r</w:t>
            </w:r>
            <w:r w:rsidRPr="00576CD2">
              <w:rPr>
                <w:rFonts w:eastAsia="Calibri" w:cstheme="minorHAnsi"/>
                <w:spacing w:val="1"/>
                <w:sz w:val="20"/>
                <w:szCs w:val="20"/>
              </w:rPr>
              <w:t>s</w:t>
            </w:r>
            <w:r w:rsidRPr="00576CD2">
              <w:rPr>
                <w:rFonts w:eastAsia="Calibri" w:cstheme="minorHAnsi"/>
                <w:sz w:val="20"/>
                <w:szCs w:val="20"/>
              </w:rPr>
              <w:t>ion</w:t>
            </w:r>
            <w:r w:rsidRPr="00576CD2">
              <w:rPr>
                <w:rFonts w:eastAsia="Calibri" w:cstheme="minorHAnsi"/>
                <w:spacing w:val="-8"/>
                <w:sz w:val="20"/>
                <w:szCs w:val="20"/>
              </w:rPr>
              <w:t xml:space="preserve"> </w:t>
            </w:r>
            <w:r w:rsidRPr="00576CD2">
              <w:rPr>
                <w:rFonts w:eastAsia="Calibri" w:cstheme="minorHAnsi"/>
                <w:spacing w:val="1"/>
                <w:sz w:val="20"/>
                <w:szCs w:val="20"/>
              </w:rPr>
              <w:t>t</w:t>
            </w:r>
            <w:r w:rsidRPr="00576CD2">
              <w:rPr>
                <w:rFonts w:eastAsia="Calibri" w:cstheme="minorHAnsi"/>
                <w:sz w:val="20"/>
                <w:szCs w:val="20"/>
              </w:rPr>
              <w:t>o</w:t>
            </w:r>
            <w:r w:rsidRPr="00576CD2">
              <w:rPr>
                <w:rFonts w:eastAsia="Calibri" w:cstheme="minorHAnsi"/>
                <w:spacing w:val="-2"/>
                <w:sz w:val="20"/>
                <w:szCs w:val="20"/>
              </w:rPr>
              <w:t xml:space="preserve"> </w:t>
            </w:r>
            <w:r w:rsidRPr="00576CD2">
              <w:rPr>
                <w:rFonts w:eastAsia="Calibri" w:cstheme="minorHAnsi"/>
                <w:spacing w:val="1"/>
                <w:sz w:val="20"/>
                <w:szCs w:val="20"/>
              </w:rPr>
              <w:t>Op</w:t>
            </w:r>
            <w:r w:rsidRPr="00576CD2">
              <w:rPr>
                <w:rFonts w:eastAsia="Calibri" w:cstheme="minorHAnsi"/>
                <w:spacing w:val="-1"/>
                <w:sz w:val="20"/>
                <w:szCs w:val="20"/>
              </w:rPr>
              <w:t>e</w:t>
            </w:r>
            <w:r w:rsidRPr="00576CD2">
              <w:rPr>
                <w:rFonts w:eastAsia="Calibri" w:cstheme="minorHAnsi"/>
                <w:sz w:val="20"/>
                <w:szCs w:val="20"/>
              </w:rPr>
              <w:t>n Surg</w:t>
            </w:r>
            <w:r w:rsidRPr="00576CD2">
              <w:rPr>
                <w:rFonts w:eastAsia="Calibri" w:cstheme="minorHAnsi"/>
                <w:spacing w:val="-1"/>
                <w:sz w:val="20"/>
                <w:szCs w:val="20"/>
              </w:rPr>
              <w:t>e</w:t>
            </w:r>
            <w:r w:rsidRPr="00576CD2">
              <w:rPr>
                <w:rFonts w:eastAsia="Calibri" w:cstheme="minorHAnsi"/>
                <w:sz w:val="20"/>
                <w:szCs w:val="20"/>
              </w:rPr>
              <w:t>ry</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FF689D"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AC89FC" w14:textId="251A721D"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FB8204" w14:textId="558235F6" w:rsidR="00100184" w:rsidRPr="00576CD2" w:rsidRDefault="00CC2815"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17177961" w14:textId="48052F0F" w:rsidTr="00CC2815">
        <w:trPr>
          <w:trHeight w:val="20"/>
        </w:trPr>
        <w:tc>
          <w:tcPr>
            <w:tcW w:w="5000"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EB25D9" w14:textId="6832373B" w:rsidR="00CC2815" w:rsidRPr="00576CD2" w:rsidRDefault="00CC2815" w:rsidP="002F0BDE">
            <w:pPr>
              <w:spacing w:after="0" w:line="240" w:lineRule="auto"/>
              <w:ind w:left="144"/>
              <w:rPr>
                <w:rFonts w:eastAsia="Calibri" w:cstheme="minorHAnsi"/>
                <w:w w:val="99"/>
                <w:sz w:val="20"/>
                <w:szCs w:val="20"/>
              </w:rPr>
            </w:pPr>
            <w:r w:rsidRPr="00576CD2">
              <w:rPr>
                <w:rFonts w:eastAsia="Calibri" w:cstheme="minorHAnsi"/>
                <w:sz w:val="20"/>
                <w:szCs w:val="20"/>
              </w:rPr>
              <w:t>All</w:t>
            </w:r>
            <w:r w:rsidRPr="00576CD2">
              <w:rPr>
                <w:rFonts w:eastAsia="Calibri" w:cstheme="minorHAnsi"/>
                <w:spacing w:val="-2"/>
                <w:sz w:val="20"/>
                <w:szCs w:val="20"/>
              </w:rPr>
              <w:t xml:space="preserve"> </w:t>
            </w:r>
            <w:r w:rsidRPr="00576CD2">
              <w:rPr>
                <w:rFonts w:eastAsia="Calibri" w:cstheme="minorHAnsi"/>
                <w:spacing w:val="1"/>
                <w:sz w:val="20"/>
                <w:szCs w:val="20"/>
              </w:rPr>
              <w:t>End</w:t>
            </w:r>
            <w:r w:rsidRPr="00576CD2">
              <w:rPr>
                <w:rFonts w:eastAsia="Calibri" w:cstheme="minorHAnsi"/>
                <w:sz w:val="20"/>
                <w:szCs w:val="20"/>
              </w:rPr>
              <w:t>ol</w:t>
            </w:r>
            <w:r w:rsidRPr="00576CD2">
              <w:rPr>
                <w:rFonts w:eastAsia="Calibri" w:cstheme="minorHAnsi"/>
                <w:spacing w:val="-1"/>
                <w:sz w:val="20"/>
                <w:szCs w:val="20"/>
              </w:rPr>
              <w:t>e</w:t>
            </w:r>
            <w:r w:rsidRPr="00576CD2">
              <w:rPr>
                <w:rFonts w:eastAsia="Calibri" w:cstheme="minorHAnsi"/>
                <w:sz w:val="20"/>
                <w:szCs w:val="20"/>
              </w:rPr>
              <w:t>a</w:t>
            </w:r>
            <w:r w:rsidRPr="00576CD2">
              <w:rPr>
                <w:rFonts w:eastAsia="Calibri" w:cstheme="minorHAnsi"/>
                <w:spacing w:val="1"/>
                <w:sz w:val="20"/>
                <w:szCs w:val="20"/>
              </w:rPr>
              <w:t>ks</w:t>
            </w:r>
          </w:p>
        </w:tc>
      </w:tr>
      <w:tr w:rsidR="00576CD2" w:rsidRPr="00576CD2" w14:paraId="08ABFB27" w14:textId="1FB9F79C" w:rsidTr="002F0BDE">
        <w:trPr>
          <w:trHeight w:val="20"/>
        </w:trPr>
        <w:tc>
          <w:tcPr>
            <w:tcW w:w="1778" w:type="pct"/>
            <w:tcBorders>
              <w:top w:val="single" w:sz="5" w:space="0" w:color="000000" w:themeColor="text1"/>
              <w:left w:val="single" w:sz="5" w:space="0" w:color="000000" w:themeColor="text1"/>
              <w:right w:val="single" w:sz="5" w:space="0" w:color="000000" w:themeColor="text1"/>
            </w:tcBorders>
            <w:vAlign w:val="center"/>
          </w:tcPr>
          <w:p w14:paraId="7A983B00" w14:textId="77777777" w:rsidR="00100184" w:rsidRPr="00576CD2" w:rsidRDefault="00100184" w:rsidP="00F7686D">
            <w:pPr>
              <w:spacing w:after="0" w:line="240" w:lineRule="auto"/>
              <w:ind w:left="720"/>
              <w:rPr>
                <w:rFonts w:eastAsia="Calibri" w:cstheme="minorHAnsi"/>
                <w:sz w:val="20"/>
                <w:szCs w:val="20"/>
              </w:rPr>
            </w:pPr>
            <w:r w:rsidRPr="00576CD2">
              <w:rPr>
                <w:rFonts w:eastAsia="Calibri" w:cstheme="minorHAnsi"/>
                <w:spacing w:val="-1"/>
                <w:sz w:val="20"/>
                <w:szCs w:val="20"/>
              </w:rPr>
              <w:t>T</w:t>
            </w:r>
            <w:r w:rsidRPr="00576CD2">
              <w:rPr>
                <w:rFonts w:eastAsia="Calibri" w:cstheme="minorHAnsi"/>
                <w:spacing w:val="1"/>
                <w:sz w:val="20"/>
                <w:szCs w:val="20"/>
              </w:rPr>
              <w:t>yp</w:t>
            </w:r>
            <w:r w:rsidRPr="00576CD2">
              <w:rPr>
                <w:rFonts w:eastAsia="Calibri" w:cstheme="minorHAnsi"/>
                <w:sz w:val="20"/>
                <w:szCs w:val="20"/>
              </w:rPr>
              <w:t>e</w:t>
            </w:r>
            <w:r w:rsidRPr="00576CD2">
              <w:rPr>
                <w:rFonts w:eastAsia="Calibri" w:cstheme="minorHAnsi"/>
                <w:spacing w:val="-5"/>
                <w:sz w:val="20"/>
                <w:szCs w:val="20"/>
              </w:rPr>
              <w:t xml:space="preserve"> </w:t>
            </w:r>
            <w:r w:rsidRPr="00576CD2">
              <w:rPr>
                <w:rFonts w:eastAsia="Calibri" w:cstheme="minorHAnsi"/>
                <w:spacing w:val="1"/>
                <w:sz w:val="20"/>
                <w:szCs w:val="20"/>
              </w:rPr>
              <w:t>I</w:t>
            </w:r>
            <w:r w:rsidRPr="00576CD2">
              <w:rPr>
                <w:rFonts w:eastAsia="Calibri" w:cstheme="minorHAnsi"/>
                <w:sz w:val="20"/>
                <w:szCs w:val="20"/>
              </w:rPr>
              <w:t>a</w:t>
            </w:r>
          </w:p>
        </w:tc>
        <w:tc>
          <w:tcPr>
            <w:tcW w:w="996" w:type="pct"/>
            <w:tcBorders>
              <w:top w:val="single" w:sz="5" w:space="0" w:color="000000" w:themeColor="text1"/>
              <w:left w:val="single" w:sz="5" w:space="0" w:color="000000" w:themeColor="text1"/>
              <w:right w:val="single" w:sz="5" w:space="0" w:color="000000" w:themeColor="text1"/>
            </w:tcBorders>
            <w:vAlign w:val="center"/>
          </w:tcPr>
          <w:p w14:paraId="3D1C7B1E"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699095BF" w14:textId="3243F11A"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3C5CE361" w14:textId="6DA4E388" w:rsidR="00100184" w:rsidRPr="00576CD2" w:rsidRDefault="00CC2815"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7A476839" w14:textId="04A18E18" w:rsidTr="002F0BDE">
        <w:trPr>
          <w:trHeight w:val="20"/>
        </w:trPr>
        <w:tc>
          <w:tcPr>
            <w:tcW w:w="1778" w:type="pct"/>
            <w:tcBorders>
              <w:top w:val="single" w:sz="5" w:space="0" w:color="000000" w:themeColor="text1"/>
              <w:left w:val="single" w:sz="5" w:space="0" w:color="000000" w:themeColor="text1"/>
              <w:right w:val="single" w:sz="5" w:space="0" w:color="000000" w:themeColor="text1"/>
            </w:tcBorders>
            <w:vAlign w:val="center"/>
          </w:tcPr>
          <w:p w14:paraId="48CEC50F" w14:textId="77777777" w:rsidR="00100184" w:rsidRPr="00576CD2" w:rsidRDefault="00100184" w:rsidP="00F7686D">
            <w:pPr>
              <w:spacing w:after="0" w:line="240" w:lineRule="auto"/>
              <w:ind w:left="720"/>
              <w:rPr>
                <w:rFonts w:eastAsia="Calibri" w:cstheme="minorHAnsi"/>
                <w:sz w:val="20"/>
                <w:szCs w:val="20"/>
              </w:rPr>
            </w:pPr>
            <w:r w:rsidRPr="00576CD2">
              <w:rPr>
                <w:rFonts w:eastAsia="Calibri" w:cstheme="minorHAnsi"/>
                <w:spacing w:val="-1"/>
                <w:sz w:val="20"/>
                <w:szCs w:val="20"/>
              </w:rPr>
              <w:t>T</w:t>
            </w:r>
            <w:r w:rsidRPr="00576CD2">
              <w:rPr>
                <w:rFonts w:eastAsia="Calibri" w:cstheme="minorHAnsi"/>
                <w:spacing w:val="1"/>
                <w:sz w:val="20"/>
                <w:szCs w:val="20"/>
              </w:rPr>
              <w:t>yp</w:t>
            </w:r>
            <w:r w:rsidRPr="00576CD2">
              <w:rPr>
                <w:rFonts w:eastAsia="Calibri" w:cstheme="minorHAnsi"/>
                <w:sz w:val="20"/>
                <w:szCs w:val="20"/>
              </w:rPr>
              <w:t>e</w:t>
            </w:r>
            <w:r w:rsidRPr="00576CD2">
              <w:rPr>
                <w:rFonts w:eastAsia="Calibri" w:cstheme="minorHAnsi"/>
                <w:spacing w:val="-5"/>
                <w:sz w:val="20"/>
                <w:szCs w:val="20"/>
              </w:rPr>
              <w:t xml:space="preserve"> </w:t>
            </w:r>
            <w:r w:rsidRPr="00576CD2">
              <w:rPr>
                <w:rFonts w:eastAsia="Calibri" w:cstheme="minorHAnsi"/>
                <w:spacing w:val="1"/>
                <w:sz w:val="20"/>
                <w:szCs w:val="20"/>
              </w:rPr>
              <w:t>I</w:t>
            </w:r>
            <w:r w:rsidRPr="00576CD2">
              <w:rPr>
                <w:rFonts w:eastAsia="Calibri" w:cstheme="minorHAnsi"/>
                <w:sz w:val="20"/>
                <w:szCs w:val="20"/>
              </w:rPr>
              <w:t>b</w:t>
            </w:r>
          </w:p>
        </w:tc>
        <w:tc>
          <w:tcPr>
            <w:tcW w:w="996" w:type="pct"/>
            <w:tcBorders>
              <w:top w:val="single" w:sz="5" w:space="0" w:color="000000" w:themeColor="text1"/>
              <w:left w:val="single" w:sz="5" w:space="0" w:color="000000" w:themeColor="text1"/>
              <w:right w:val="single" w:sz="5" w:space="0" w:color="000000" w:themeColor="text1"/>
            </w:tcBorders>
            <w:vAlign w:val="center"/>
          </w:tcPr>
          <w:p w14:paraId="3F6AABA3"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158537FE" w14:textId="7385423E"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44D4DC5A" w14:textId="4DDBFD69" w:rsidR="00100184" w:rsidRPr="00576CD2" w:rsidRDefault="00CC2815"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267F1FA0" w14:textId="450246C3" w:rsidTr="002F0BDE">
        <w:trPr>
          <w:trHeight w:val="20"/>
        </w:trPr>
        <w:tc>
          <w:tcPr>
            <w:tcW w:w="1778" w:type="pct"/>
            <w:tcBorders>
              <w:top w:val="single" w:sz="5" w:space="0" w:color="000000" w:themeColor="text1"/>
              <w:left w:val="single" w:sz="5" w:space="0" w:color="000000" w:themeColor="text1"/>
              <w:right w:val="single" w:sz="5" w:space="0" w:color="000000" w:themeColor="text1"/>
            </w:tcBorders>
            <w:vAlign w:val="center"/>
          </w:tcPr>
          <w:p w14:paraId="20765502" w14:textId="77777777" w:rsidR="00100184" w:rsidRPr="00576CD2" w:rsidRDefault="00100184" w:rsidP="00F7686D">
            <w:pPr>
              <w:spacing w:after="0" w:line="240" w:lineRule="auto"/>
              <w:ind w:left="720"/>
              <w:rPr>
                <w:rFonts w:eastAsia="Calibri" w:cstheme="minorHAnsi"/>
                <w:sz w:val="20"/>
                <w:szCs w:val="20"/>
              </w:rPr>
            </w:pPr>
            <w:r w:rsidRPr="00576CD2">
              <w:rPr>
                <w:rFonts w:eastAsia="Calibri" w:cstheme="minorHAnsi"/>
                <w:spacing w:val="-1"/>
                <w:sz w:val="20"/>
                <w:szCs w:val="20"/>
              </w:rPr>
              <w:t>T</w:t>
            </w:r>
            <w:r w:rsidRPr="00576CD2">
              <w:rPr>
                <w:rFonts w:eastAsia="Calibri" w:cstheme="minorHAnsi"/>
                <w:spacing w:val="1"/>
                <w:sz w:val="20"/>
                <w:szCs w:val="20"/>
              </w:rPr>
              <w:t>yp</w:t>
            </w:r>
            <w:r w:rsidRPr="00576CD2">
              <w:rPr>
                <w:rFonts w:eastAsia="Calibri" w:cstheme="minorHAnsi"/>
                <w:sz w:val="20"/>
                <w:szCs w:val="20"/>
              </w:rPr>
              <w:t>e</w:t>
            </w:r>
            <w:r w:rsidRPr="00576CD2">
              <w:rPr>
                <w:rFonts w:eastAsia="Calibri" w:cstheme="minorHAnsi"/>
                <w:spacing w:val="-5"/>
                <w:sz w:val="20"/>
                <w:szCs w:val="20"/>
              </w:rPr>
              <w:t xml:space="preserve"> </w:t>
            </w:r>
            <w:r w:rsidRPr="00576CD2">
              <w:rPr>
                <w:rFonts w:eastAsia="Calibri" w:cstheme="minorHAnsi"/>
                <w:spacing w:val="1"/>
                <w:sz w:val="20"/>
                <w:szCs w:val="20"/>
              </w:rPr>
              <w:t>I</w:t>
            </w:r>
            <w:r w:rsidRPr="00576CD2">
              <w:rPr>
                <w:rFonts w:eastAsia="Calibri" w:cstheme="minorHAnsi"/>
                <w:sz w:val="20"/>
                <w:szCs w:val="20"/>
              </w:rPr>
              <w:t>I</w:t>
            </w:r>
          </w:p>
        </w:tc>
        <w:tc>
          <w:tcPr>
            <w:tcW w:w="996" w:type="pct"/>
            <w:tcBorders>
              <w:top w:val="single" w:sz="5" w:space="0" w:color="000000" w:themeColor="text1"/>
              <w:left w:val="single" w:sz="5" w:space="0" w:color="000000" w:themeColor="text1"/>
              <w:right w:val="single" w:sz="5" w:space="0" w:color="000000" w:themeColor="text1"/>
            </w:tcBorders>
            <w:vAlign w:val="center"/>
          </w:tcPr>
          <w:p w14:paraId="76A802C4" w14:textId="7EA2B14F"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05AA575D" w14:textId="5A4B4686"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036178BE" w14:textId="020D295E" w:rsidR="00100184" w:rsidRPr="00576CD2" w:rsidRDefault="00CC2815"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2184CF65" w14:textId="6D6D7981" w:rsidTr="002F0BDE">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ED11DE" w14:textId="77777777" w:rsidR="00100184" w:rsidRPr="00576CD2" w:rsidRDefault="00100184" w:rsidP="00F7686D">
            <w:pPr>
              <w:spacing w:after="0" w:line="240" w:lineRule="auto"/>
              <w:ind w:left="720"/>
              <w:rPr>
                <w:rFonts w:eastAsia="Calibri" w:cstheme="minorHAnsi"/>
                <w:sz w:val="20"/>
                <w:szCs w:val="20"/>
              </w:rPr>
            </w:pPr>
            <w:r w:rsidRPr="00576CD2">
              <w:rPr>
                <w:rFonts w:eastAsia="Calibri" w:cstheme="minorHAnsi"/>
                <w:spacing w:val="-1"/>
                <w:sz w:val="20"/>
                <w:szCs w:val="20"/>
              </w:rPr>
              <w:t>T</w:t>
            </w:r>
            <w:r w:rsidRPr="00576CD2">
              <w:rPr>
                <w:rFonts w:eastAsia="Calibri" w:cstheme="minorHAnsi"/>
                <w:spacing w:val="1"/>
                <w:sz w:val="20"/>
                <w:szCs w:val="20"/>
              </w:rPr>
              <w:t>yp</w:t>
            </w:r>
            <w:r w:rsidRPr="00576CD2">
              <w:rPr>
                <w:rFonts w:eastAsia="Calibri" w:cstheme="minorHAnsi"/>
                <w:sz w:val="20"/>
                <w:szCs w:val="20"/>
              </w:rPr>
              <w:t>e</w:t>
            </w:r>
            <w:r w:rsidRPr="00576CD2">
              <w:rPr>
                <w:rFonts w:eastAsia="Calibri" w:cstheme="minorHAnsi"/>
                <w:spacing w:val="-5"/>
                <w:sz w:val="20"/>
                <w:szCs w:val="20"/>
              </w:rPr>
              <w:t xml:space="preserve"> </w:t>
            </w:r>
            <w:r w:rsidRPr="00576CD2">
              <w:rPr>
                <w:rFonts w:eastAsia="Calibri" w:cstheme="minorHAnsi"/>
                <w:spacing w:val="1"/>
                <w:sz w:val="20"/>
                <w:szCs w:val="20"/>
              </w:rPr>
              <w:t>I</w:t>
            </w:r>
            <w:r w:rsidRPr="00576CD2">
              <w:rPr>
                <w:rFonts w:eastAsia="Calibri" w:cstheme="minorHAnsi"/>
                <w:sz w:val="20"/>
                <w:szCs w:val="20"/>
              </w:rPr>
              <w:t>II</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D35C33"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7B5755" w14:textId="14DD6237"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DB31A4" w14:textId="2B31F0A8" w:rsidR="00100184" w:rsidRPr="00576CD2" w:rsidRDefault="00CC2815"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45087684" w14:textId="466E3DB9" w:rsidTr="002F0BDE">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151860" w14:textId="77777777" w:rsidR="00100184" w:rsidRPr="00576CD2" w:rsidRDefault="00100184" w:rsidP="00F7686D">
            <w:pPr>
              <w:spacing w:after="0" w:line="240" w:lineRule="auto"/>
              <w:ind w:left="720"/>
              <w:rPr>
                <w:rFonts w:eastAsia="Calibri" w:cstheme="minorHAnsi"/>
                <w:sz w:val="20"/>
                <w:szCs w:val="20"/>
              </w:rPr>
            </w:pPr>
            <w:r w:rsidRPr="00576CD2">
              <w:rPr>
                <w:rFonts w:eastAsia="Calibri" w:cstheme="minorHAnsi"/>
                <w:spacing w:val="-1"/>
                <w:sz w:val="20"/>
                <w:szCs w:val="20"/>
              </w:rPr>
              <w:t>T</w:t>
            </w:r>
            <w:r w:rsidRPr="00576CD2">
              <w:rPr>
                <w:rFonts w:eastAsia="Calibri" w:cstheme="minorHAnsi"/>
                <w:spacing w:val="1"/>
                <w:sz w:val="20"/>
                <w:szCs w:val="20"/>
              </w:rPr>
              <w:t>yp</w:t>
            </w:r>
            <w:r w:rsidRPr="00576CD2">
              <w:rPr>
                <w:rFonts w:eastAsia="Calibri" w:cstheme="minorHAnsi"/>
                <w:sz w:val="20"/>
                <w:szCs w:val="20"/>
              </w:rPr>
              <w:t>e</w:t>
            </w:r>
            <w:r w:rsidRPr="00576CD2">
              <w:rPr>
                <w:rFonts w:eastAsia="Calibri" w:cstheme="minorHAnsi"/>
                <w:spacing w:val="-5"/>
                <w:sz w:val="20"/>
                <w:szCs w:val="20"/>
              </w:rPr>
              <w:t xml:space="preserve"> </w:t>
            </w:r>
            <w:r w:rsidRPr="00576CD2">
              <w:rPr>
                <w:rFonts w:eastAsia="Calibri" w:cstheme="minorHAnsi"/>
                <w:spacing w:val="1"/>
                <w:sz w:val="20"/>
                <w:szCs w:val="20"/>
              </w:rPr>
              <w:t>I</w:t>
            </w:r>
            <w:r w:rsidRPr="00576CD2">
              <w:rPr>
                <w:rFonts w:eastAsia="Calibri" w:cstheme="minorHAnsi"/>
                <w:sz w:val="20"/>
                <w:szCs w:val="20"/>
              </w:rPr>
              <w:t>V</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7550E0A"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E5BD1D" w14:textId="0C0DA22A"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42AB7E" w14:textId="422234E6" w:rsidR="00100184" w:rsidRPr="00576CD2" w:rsidRDefault="00CC2815"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092E641A" w14:textId="75670B05" w:rsidTr="002F0BDE">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B77A78" w14:textId="77777777" w:rsidR="00100184" w:rsidRPr="00576CD2" w:rsidRDefault="00100184" w:rsidP="00F7686D">
            <w:pPr>
              <w:spacing w:after="0" w:line="240" w:lineRule="auto"/>
              <w:ind w:left="720"/>
              <w:rPr>
                <w:rFonts w:eastAsia="Calibri" w:cstheme="minorHAnsi"/>
                <w:sz w:val="20"/>
                <w:szCs w:val="20"/>
              </w:rPr>
            </w:pPr>
            <w:r w:rsidRPr="00576CD2">
              <w:rPr>
                <w:rFonts w:eastAsia="Calibri" w:cstheme="minorHAnsi"/>
                <w:spacing w:val="-1"/>
                <w:sz w:val="20"/>
                <w:szCs w:val="20"/>
              </w:rPr>
              <w:t>U</w:t>
            </w:r>
            <w:r w:rsidRPr="00576CD2">
              <w:rPr>
                <w:rFonts w:eastAsia="Calibri" w:cstheme="minorHAnsi"/>
                <w:spacing w:val="1"/>
                <w:sz w:val="20"/>
                <w:szCs w:val="20"/>
              </w:rPr>
              <w:t>n</w:t>
            </w:r>
            <w:r w:rsidRPr="00576CD2">
              <w:rPr>
                <w:rFonts w:eastAsia="Calibri" w:cstheme="minorHAnsi"/>
                <w:sz w:val="20"/>
                <w:szCs w:val="20"/>
              </w:rPr>
              <w:t>k</w:t>
            </w:r>
            <w:r w:rsidRPr="00576CD2">
              <w:rPr>
                <w:rFonts w:eastAsia="Calibri" w:cstheme="minorHAnsi"/>
                <w:spacing w:val="1"/>
                <w:sz w:val="20"/>
                <w:szCs w:val="20"/>
              </w:rPr>
              <w:t>n</w:t>
            </w:r>
            <w:r w:rsidRPr="00576CD2">
              <w:rPr>
                <w:rFonts w:eastAsia="Calibri" w:cstheme="minorHAnsi"/>
                <w:sz w:val="20"/>
                <w:szCs w:val="20"/>
              </w:rPr>
              <w:t>o</w:t>
            </w:r>
            <w:r w:rsidRPr="00576CD2">
              <w:rPr>
                <w:rFonts w:eastAsia="Calibri" w:cstheme="minorHAnsi"/>
                <w:spacing w:val="-1"/>
                <w:sz w:val="20"/>
                <w:szCs w:val="20"/>
              </w:rPr>
              <w:t>w</w:t>
            </w:r>
            <w:r w:rsidRPr="00576CD2">
              <w:rPr>
                <w:rFonts w:eastAsia="Calibri" w:cstheme="minorHAnsi"/>
                <w:sz w:val="20"/>
                <w:szCs w:val="20"/>
              </w:rPr>
              <w:t>n</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E2499A" w14:textId="78C73E41"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1 (9.2%,1/11)</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E2C02" w14:textId="0212D1FE"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1EBBF3" w14:textId="09A46DA4" w:rsidR="00100184" w:rsidRPr="00576CD2" w:rsidRDefault="00D05ADD"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1</w:t>
            </w:r>
          </w:p>
        </w:tc>
      </w:tr>
      <w:tr w:rsidR="00576CD2" w:rsidRPr="00576CD2" w14:paraId="4F0019C8" w14:textId="1F75DA51" w:rsidTr="002F0BDE">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C2F40A" w14:textId="39526A0C" w:rsidR="00100184" w:rsidRPr="00576CD2" w:rsidRDefault="00100184" w:rsidP="00F7686D">
            <w:pPr>
              <w:spacing w:after="0" w:line="240" w:lineRule="auto"/>
              <w:ind w:left="144"/>
              <w:rPr>
                <w:rFonts w:eastAsia="Calibri" w:cstheme="minorHAnsi"/>
                <w:spacing w:val="-1"/>
                <w:sz w:val="20"/>
                <w:szCs w:val="20"/>
              </w:rPr>
            </w:pPr>
            <w:r w:rsidRPr="00576CD2">
              <w:rPr>
                <w:rFonts w:eastAsia="Calibri" w:cstheme="minorHAnsi"/>
                <w:sz w:val="20"/>
                <w:szCs w:val="20"/>
              </w:rPr>
              <w:t>A</w:t>
            </w:r>
            <w:r w:rsidRPr="00576CD2">
              <w:rPr>
                <w:rFonts w:eastAsia="Calibri" w:cstheme="minorHAnsi"/>
                <w:spacing w:val="1"/>
                <w:sz w:val="20"/>
                <w:szCs w:val="20"/>
              </w:rPr>
              <w:t>n</w:t>
            </w:r>
            <w:r w:rsidRPr="00576CD2">
              <w:rPr>
                <w:rFonts w:eastAsia="Calibri" w:cstheme="minorHAnsi"/>
                <w:spacing w:val="-1"/>
                <w:sz w:val="20"/>
                <w:szCs w:val="20"/>
              </w:rPr>
              <w:t>e</w:t>
            </w:r>
            <w:r w:rsidRPr="00576CD2">
              <w:rPr>
                <w:rFonts w:eastAsia="Calibri" w:cstheme="minorHAnsi"/>
                <w:spacing w:val="1"/>
                <w:sz w:val="20"/>
                <w:szCs w:val="20"/>
              </w:rPr>
              <w:t>u</w:t>
            </w:r>
            <w:r w:rsidRPr="00576CD2">
              <w:rPr>
                <w:rFonts w:eastAsia="Calibri" w:cstheme="minorHAnsi"/>
                <w:sz w:val="20"/>
                <w:szCs w:val="20"/>
              </w:rPr>
              <w:t>r</w:t>
            </w:r>
            <w:r w:rsidRPr="00576CD2">
              <w:rPr>
                <w:rFonts w:eastAsia="Calibri" w:cstheme="minorHAnsi"/>
                <w:spacing w:val="1"/>
                <w:sz w:val="20"/>
                <w:szCs w:val="20"/>
              </w:rPr>
              <w:t>ys</w:t>
            </w:r>
            <w:r w:rsidRPr="00576CD2">
              <w:rPr>
                <w:rFonts w:eastAsia="Calibri" w:cstheme="minorHAnsi"/>
                <w:sz w:val="20"/>
                <w:szCs w:val="20"/>
              </w:rPr>
              <w:t>m</w:t>
            </w:r>
            <w:r w:rsidRPr="00576CD2">
              <w:rPr>
                <w:rFonts w:eastAsia="Calibri" w:cstheme="minorHAnsi"/>
                <w:spacing w:val="-7"/>
                <w:sz w:val="20"/>
                <w:szCs w:val="20"/>
              </w:rPr>
              <w:t xml:space="preserve"> </w:t>
            </w:r>
            <w:r w:rsidRPr="00576CD2">
              <w:rPr>
                <w:rFonts w:eastAsia="Calibri" w:cstheme="minorHAnsi"/>
                <w:sz w:val="20"/>
                <w:szCs w:val="20"/>
              </w:rPr>
              <w:t xml:space="preserve">Sac </w:t>
            </w:r>
            <w:r w:rsidRPr="00576CD2">
              <w:rPr>
                <w:rFonts w:eastAsia="Calibri" w:cstheme="minorHAnsi"/>
                <w:spacing w:val="1"/>
                <w:sz w:val="20"/>
                <w:szCs w:val="20"/>
              </w:rPr>
              <w:t>En</w:t>
            </w:r>
            <w:r w:rsidRPr="00576CD2">
              <w:rPr>
                <w:rFonts w:eastAsia="Calibri" w:cstheme="minorHAnsi"/>
                <w:sz w:val="20"/>
                <w:szCs w:val="20"/>
              </w:rPr>
              <w:t>large</w:t>
            </w:r>
            <w:r w:rsidRPr="00576CD2">
              <w:rPr>
                <w:rFonts w:eastAsia="Calibri" w:cstheme="minorHAnsi"/>
                <w:spacing w:val="-1"/>
                <w:sz w:val="20"/>
                <w:szCs w:val="20"/>
              </w:rPr>
              <w:t>me</w:t>
            </w:r>
            <w:r w:rsidRPr="00576CD2">
              <w:rPr>
                <w:rFonts w:eastAsia="Calibri" w:cstheme="minorHAnsi"/>
                <w:spacing w:val="1"/>
                <w:sz w:val="20"/>
                <w:szCs w:val="20"/>
              </w:rPr>
              <w:t>n</w:t>
            </w:r>
            <w:r w:rsidRPr="00576CD2">
              <w:rPr>
                <w:rFonts w:eastAsia="Calibri" w:cstheme="minorHAnsi"/>
                <w:sz w:val="20"/>
                <w:szCs w:val="20"/>
              </w:rPr>
              <w:t>t</w:t>
            </w:r>
            <w:r w:rsidRPr="00576CD2">
              <w:rPr>
                <w:rFonts w:eastAsia="Calibri" w:cstheme="minorHAnsi"/>
                <w:spacing w:val="-8"/>
                <w:sz w:val="20"/>
                <w:szCs w:val="20"/>
              </w:rPr>
              <w:t xml:space="preserve"> </w:t>
            </w:r>
            <w:r w:rsidRPr="00576CD2">
              <w:rPr>
                <w:rFonts w:eastAsia="Calibri" w:cstheme="minorHAnsi"/>
                <w:spacing w:val="2"/>
                <w:sz w:val="20"/>
                <w:szCs w:val="20"/>
              </w:rPr>
              <w:t>(</w:t>
            </w:r>
            <w:r w:rsidRPr="00576CD2">
              <w:rPr>
                <w:rFonts w:eastAsia="Calibri" w:cstheme="minorHAnsi"/>
                <w:sz w:val="20"/>
                <w:szCs w:val="20"/>
              </w:rPr>
              <w:t>&gt;</w:t>
            </w:r>
            <w:r w:rsidRPr="00576CD2">
              <w:rPr>
                <w:rFonts w:eastAsia="Calibri" w:cstheme="minorHAnsi"/>
                <w:spacing w:val="-3"/>
                <w:sz w:val="20"/>
                <w:szCs w:val="20"/>
              </w:rPr>
              <w:t xml:space="preserve"> </w:t>
            </w:r>
            <w:r w:rsidRPr="00576CD2">
              <w:rPr>
                <w:rFonts w:eastAsia="Calibri" w:cstheme="minorHAnsi"/>
                <w:sz w:val="20"/>
                <w:szCs w:val="20"/>
              </w:rPr>
              <w:t xml:space="preserve">5 </w:t>
            </w:r>
            <w:r w:rsidRPr="00576CD2">
              <w:rPr>
                <w:rFonts w:eastAsia="Calibri" w:cstheme="minorHAnsi"/>
                <w:spacing w:val="-1"/>
                <w:sz w:val="20"/>
                <w:szCs w:val="20"/>
              </w:rPr>
              <w:t>mm</w:t>
            </w:r>
            <w:r w:rsidRPr="00576CD2">
              <w:rPr>
                <w:rFonts w:eastAsia="Calibri" w:cstheme="minorHAnsi"/>
                <w:spacing w:val="2"/>
                <w:sz w:val="20"/>
                <w:szCs w:val="20"/>
              </w:rPr>
              <w:t>)</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18FF1E" w14:textId="77777777"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8AE50F" w14:textId="270EC19C"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4526CD" w14:textId="2C01E4BD" w:rsidR="00100184" w:rsidRPr="00576CD2" w:rsidRDefault="00D05ADD"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61296F99" w14:textId="37D0E105" w:rsidTr="002F0BDE">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1E9FF79"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L</w:t>
            </w:r>
            <w:r w:rsidRPr="00576CD2">
              <w:rPr>
                <w:rFonts w:eastAsia="Calibri" w:cstheme="minorHAnsi"/>
                <w:spacing w:val="1"/>
                <w:sz w:val="20"/>
                <w:szCs w:val="20"/>
              </w:rPr>
              <w:t>os</w:t>
            </w:r>
            <w:r w:rsidRPr="00576CD2">
              <w:rPr>
                <w:rFonts w:eastAsia="Calibri" w:cstheme="minorHAnsi"/>
                <w:sz w:val="20"/>
                <w:szCs w:val="20"/>
              </w:rPr>
              <w:t>s</w:t>
            </w:r>
            <w:r w:rsidRPr="00576CD2">
              <w:rPr>
                <w:rFonts w:eastAsia="Calibri" w:cstheme="minorHAnsi"/>
                <w:spacing w:val="-2"/>
                <w:sz w:val="20"/>
                <w:szCs w:val="20"/>
              </w:rPr>
              <w:t xml:space="preserve"> </w:t>
            </w:r>
            <w:r w:rsidRPr="00576CD2">
              <w:rPr>
                <w:rFonts w:eastAsia="Calibri" w:cstheme="minorHAnsi"/>
                <w:spacing w:val="1"/>
                <w:sz w:val="20"/>
                <w:szCs w:val="20"/>
              </w:rPr>
              <w:t>o</w:t>
            </w:r>
            <w:r w:rsidRPr="00576CD2">
              <w:rPr>
                <w:rFonts w:eastAsia="Calibri" w:cstheme="minorHAnsi"/>
                <w:sz w:val="20"/>
                <w:szCs w:val="20"/>
              </w:rPr>
              <w:t>f</w:t>
            </w:r>
            <w:r w:rsidRPr="00576CD2">
              <w:rPr>
                <w:rFonts w:eastAsia="Calibri" w:cstheme="minorHAnsi"/>
                <w:spacing w:val="-3"/>
                <w:sz w:val="20"/>
                <w:szCs w:val="20"/>
              </w:rPr>
              <w:t xml:space="preserve"> </w:t>
            </w:r>
            <w:r w:rsidRPr="00576CD2">
              <w:rPr>
                <w:rFonts w:eastAsia="Calibri" w:cstheme="minorHAnsi"/>
                <w:sz w:val="20"/>
                <w:szCs w:val="20"/>
              </w:rPr>
              <w:t>De</w:t>
            </w:r>
            <w:r w:rsidRPr="00576CD2">
              <w:rPr>
                <w:rFonts w:eastAsia="Calibri" w:cstheme="minorHAnsi"/>
                <w:spacing w:val="1"/>
                <w:sz w:val="20"/>
                <w:szCs w:val="20"/>
              </w:rPr>
              <w:t>v</w:t>
            </w:r>
            <w:r w:rsidRPr="00576CD2">
              <w:rPr>
                <w:rFonts w:eastAsia="Calibri" w:cstheme="minorHAnsi"/>
                <w:sz w:val="20"/>
                <w:szCs w:val="20"/>
              </w:rPr>
              <w:t>ice I</w:t>
            </w:r>
            <w:r w:rsidRPr="00576CD2">
              <w:rPr>
                <w:rFonts w:eastAsia="Calibri" w:cstheme="minorHAnsi"/>
                <w:spacing w:val="1"/>
                <w:sz w:val="20"/>
                <w:szCs w:val="20"/>
              </w:rPr>
              <w:t>n</w:t>
            </w:r>
            <w:r w:rsidRPr="00576CD2">
              <w:rPr>
                <w:rFonts w:eastAsia="Calibri" w:cstheme="minorHAnsi"/>
                <w:sz w:val="20"/>
                <w:szCs w:val="20"/>
              </w:rPr>
              <w:t>tegrity</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8FA9B6D"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A091AE" w14:textId="7C264A53"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554782" w14:textId="0A664A94" w:rsidR="00100184" w:rsidRPr="00576CD2" w:rsidRDefault="00D05ADD"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100E2BA5" w14:textId="2B07F231" w:rsidTr="002F0BDE">
        <w:trPr>
          <w:trHeight w:val="20"/>
        </w:trPr>
        <w:tc>
          <w:tcPr>
            <w:tcW w:w="1778" w:type="pct"/>
            <w:tcBorders>
              <w:top w:val="single" w:sz="5" w:space="0" w:color="000000" w:themeColor="text1"/>
              <w:left w:val="single" w:sz="5" w:space="0" w:color="000000" w:themeColor="text1"/>
              <w:right w:val="single" w:sz="5" w:space="0" w:color="000000" w:themeColor="text1"/>
            </w:tcBorders>
            <w:vAlign w:val="center"/>
          </w:tcPr>
          <w:p w14:paraId="0DAB39F8"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Migra</w:t>
            </w:r>
            <w:r w:rsidRPr="00576CD2">
              <w:rPr>
                <w:rFonts w:eastAsia="Calibri" w:cstheme="minorHAnsi"/>
                <w:spacing w:val="1"/>
                <w:sz w:val="20"/>
                <w:szCs w:val="20"/>
              </w:rPr>
              <w:t>t</w:t>
            </w:r>
            <w:r w:rsidRPr="00576CD2">
              <w:rPr>
                <w:rFonts w:eastAsia="Calibri" w:cstheme="minorHAnsi"/>
                <w:sz w:val="20"/>
                <w:szCs w:val="20"/>
              </w:rPr>
              <w:t>ion</w:t>
            </w:r>
            <w:r w:rsidRPr="00576CD2">
              <w:rPr>
                <w:rFonts w:eastAsia="Calibri" w:cstheme="minorHAnsi"/>
                <w:spacing w:val="-7"/>
                <w:sz w:val="20"/>
                <w:szCs w:val="20"/>
              </w:rPr>
              <w:t xml:space="preserve"> </w:t>
            </w:r>
            <w:r w:rsidRPr="00576CD2">
              <w:rPr>
                <w:rFonts w:eastAsia="Calibri" w:cstheme="minorHAnsi"/>
                <w:sz w:val="20"/>
                <w:szCs w:val="20"/>
              </w:rPr>
              <w:t>&gt;</w:t>
            </w:r>
            <w:r w:rsidRPr="00576CD2">
              <w:rPr>
                <w:rFonts w:eastAsia="Calibri" w:cstheme="minorHAnsi"/>
                <w:spacing w:val="-1"/>
                <w:sz w:val="20"/>
                <w:szCs w:val="20"/>
              </w:rPr>
              <w:t xml:space="preserve"> </w:t>
            </w:r>
            <w:r w:rsidRPr="00576CD2">
              <w:rPr>
                <w:rFonts w:eastAsia="Calibri" w:cstheme="minorHAnsi"/>
                <w:sz w:val="20"/>
                <w:szCs w:val="20"/>
              </w:rPr>
              <w:t>10</w:t>
            </w:r>
            <w:r w:rsidRPr="00576CD2">
              <w:rPr>
                <w:rFonts w:eastAsia="Calibri" w:cstheme="minorHAnsi"/>
                <w:spacing w:val="-2"/>
                <w:sz w:val="20"/>
                <w:szCs w:val="20"/>
              </w:rPr>
              <w:t xml:space="preserve"> </w:t>
            </w:r>
            <w:r w:rsidRPr="00576CD2">
              <w:rPr>
                <w:rFonts w:eastAsia="Calibri" w:cstheme="minorHAnsi"/>
                <w:spacing w:val="2"/>
                <w:sz w:val="20"/>
                <w:szCs w:val="20"/>
              </w:rPr>
              <w:t>m</w:t>
            </w:r>
            <w:r w:rsidRPr="00576CD2">
              <w:rPr>
                <w:rFonts w:eastAsia="Calibri" w:cstheme="minorHAnsi"/>
                <w:sz w:val="20"/>
                <w:szCs w:val="20"/>
              </w:rPr>
              <w:t>m</w:t>
            </w:r>
          </w:p>
        </w:tc>
        <w:tc>
          <w:tcPr>
            <w:tcW w:w="996" w:type="pct"/>
            <w:tcBorders>
              <w:top w:val="single" w:sz="5" w:space="0" w:color="000000" w:themeColor="text1"/>
              <w:left w:val="single" w:sz="5" w:space="0" w:color="000000" w:themeColor="text1"/>
              <w:right w:val="single" w:sz="5" w:space="0" w:color="000000" w:themeColor="text1"/>
            </w:tcBorders>
            <w:shd w:val="clear" w:color="auto" w:fill="auto"/>
            <w:vAlign w:val="center"/>
          </w:tcPr>
          <w:p w14:paraId="7CDB9C75" w14:textId="6633B34D" w:rsidR="00100184" w:rsidRPr="00576CD2" w:rsidRDefault="00100184" w:rsidP="00F7686D">
            <w:pPr>
              <w:spacing w:after="0" w:line="240" w:lineRule="auto"/>
              <w:ind w:left="144"/>
              <w:jc w:val="center"/>
              <w:rPr>
                <w:rFonts w:cstheme="minorHAnsi"/>
                <w:sz w:val="20"/>
                <w:szCs w:val="20"/>
              </w:rPr>
            </w:pPr>
            <w:r w:rsidRPr="00576CD2">
              <w:rPr>
                <w:rFonts w:cstheme="minorHAnsi"/>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shd w:val="clear" w:color="auto" w:fill="auto"/>
          </w:tcPr>
          <w:p w14:paraId="3658E37A" w14:textId="63FE3C06" w:rsidR="00100184" w:rsidRPr="00576CD2" w:rsidRDefault="00100184" w:rsidP="00F7686D">
            <w:pPr>
              <w:spacing w:after="0" w:line="240" w:lineRule="auto"/>
              <w:ind w:left="144"/>
              <w:jc w:val="center"/>
              <w:rPr>
                <w:rFonts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right w:val="single" w:sz="5" w:space="0" w:color="000000" w:themeColor="text1"/>
            </w:tcBorders>
          </w:tcPr>
          <w:p w14:paraId="6AE2FC51" w14:textId="611DCEA9" w:rsidR="00100184" w:rsidRPr="00576CD2" w:rsidRDefault="00D05ADD"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7A4B9661" w14:textId="6FC5F10B" w:rsidTr="002F0BDE">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AD053A"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L</w:t>
            </w:r>
            <w:r w:rsidRPr="00576CD2">
              <w:rPr>
                <w:rFonts w:eastAsia="Calibri" w:cstheme="minorHAnsi"/>
                <w:spacing w:val="1"/>
                <w:sz w:val="20"/>
                <w:szCs w:val="20"/>
              </w:rPr>
              <w:t>os</w:t>
            </w:r>
            <w:r w:rsidRPr="00576CD2">
              <w:rPr>
                <w:rFonts w:eastAsia="Calibri" w:cstheme="minorHAnsi"/>
                <w:sz w:val="20"/>
                <w:szCs w:val="20"/>
              </w:rPr>
              <w:t>s</w:t>
            </w:r>
            <w:r w:rsidRPr="00576CD2">
              <w:rPr>
                <w:rFonts w:eastAsia="Calibri" w:cstheme="minorHAnsi"/>
                <w:spacing w:val="-2"/>
                <w:sz w:val="20"/>
                <w:szCs w:val="20"/>
              </w:rPr>
              <w:t xml:space="preserve"> </w:t>
            </w:r>
            <w:r w:rsidRPr="00576CD2">
              <w:rPr>
                <w:rFonts w:eastAsia="Calibri" w:cstheme="minorHAnsi"/>
                <w:spacing w:val="1"/>
                <w:sz w:val="20"/>
                <w:szCs w:val="20"/>
              </w:rPr>
              <w:t>o</w:t>
            </w:r>
            <w:r w:rsidRPr="00576CD2">
              <w:rPr>
                <w:rFonts w:eastAsia="Calibri" w:cstheme="minorHAnsi"/>
                <w:sz w:val="20"/>
                <w:szCs w:val="20"/>
              </w:rPr>
              <w:t>f</w:t>
            </w:r>
            <w:r w:rsidRPr="00576CD2">
              <w:rPr>
                <w:rFonts w:eastAsia="Calibri" w:cstheme="minorHAnsi"/>
                <w:spacing w:val="-3"/>
                <w:sz w:val="20"/>
                <w:szCs w:val="20"/>
              </w:rPr>
              <w:t xml:space="preserve"> </w:t>
            </w:r>
            <w:r w:rsidRPr="00576CD2">
              <w:rPr>
                <w:rFonts w:eastAsia="Calibri" w:cstheme="minorHAnsi"/>
                <w:spacing w:val="1"/>
                <w:sz w:val="20"/>
                <w:szCs w:val="20"/>
              </w:rPr>
              <w:t>P</w:t>
            </w:r>
            <w:r w:rsidRPr="00576CD2">
              <w:rPr>
                <w:rFonts w:eastAsia="Calibri" w:cstheme="minorHAnsi"/>
                <w:sz w:val="20"/>
                <w:szCs w:val="20"/>
              </w:rPr>
              <w:t>a</w:t>
            </w:r>
            <w:r w:rsidRPr="00576CD2">
              <w:rPr>
                <w:rFonts w:eastAsia="Calibri" w:cstheme="minorHAnsi"/>
                <w:spacing w:val="1"/>
                <w:sz w:val="20"/>
                <w:szCs w:val="20"/>
              </w:rPr>
              <w:t>t</w:t>
            </w:r>
            <w:r w:rsidRPr="00576CD2">
              <w:rPr>
                <w:rFonts w:eastAsia="Calibri" w:cstheme="minorHAnsi"/>
                <w:spacing w:val="-1"/>
                <w:sz w:val="20"/>
                <w:szCs w:val="20"/>
              </w:rPr>
              <w:t>e</w:t>
            </w:r>
            <w:r w:rsidRPr="00576CD2">
              <w:rPr>
                <w:rFonts w:eastAsia="Calibri" w:cstheme="minorHAnsi"/>
                <w:spacing w:val="1"/>
                <w:sz w:val="20"/>
                <w:szCs w:val="20"/>
              </w:rPr>
              <w:t>n</w:t>
            </w:r>
            <w:r w:rsidRPr="00576CD2">
              <w:rPr>
                <w:rFonts w:eastAsia="Calibri" w:cstheme="minorHAnsi"/>
                <w:sz w:val="20"/>
                <w:szCs w:val="20"/>
              </w:rPr>
              <w:t>cy</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AE42F6" w14:textId="77777777" w:rsidR="00100184" w:rsidRPr="00576CD2" w:rsidRDefault="00100184" w:rsidP="00F7686D">
            <w:pPr>
              <w:spacing w:after="0" w:line="240" w:lineRule="auto"/>
              <w:ind w:left="144"/>
              <w:jc w:val="center"/>
              <w:rPr>
                <w:rFonts w:eastAsia="Calibri" w:cstheme="minorHAnsi"/>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E2CF2C" w14:textId="2B51A559"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BD335A" w14:textId="33EA3EB4" w:rsidR="00100184" w:rsidRPr="00576CD2" w:rsidRDefault="00D05ADD"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r>
      <w:tr w:rsidR="00576CD2" w:rsidRPr="00576CD2" w14:paraId="4A0FF10B" w14:textId="28C71DE5" w:rsidTr="002F0BDE">
        <w:trPr>
          <w:trHeight w:val="20"/>
        </w:trPr>
        <w:tc>
          <w:tcPr>
            <w:tcW w:w="1778"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D4FE3A" w14:textId="77777777" w:rsidR="00100184" w:rsidRPr="00576CD2" w:rsidRDefault="00100184" w:rsidP="00F7686D">
            <w:pPr>
              <w:spacing w:after="0" w:line="240" w:lineRule="auto"/>
              <w:ind w:left="144"/>
              <w:rPr>
                <w:rFonts w:eastAsia="Calibri" w:cstheme="minorHAnsi"/>
                <w:sz w:val="20"/>
                <w:szCs w:val="20"/>
              </w:rPr>
            </w:pPr>
            <w:r w:rsidRPr="00576CD2">
              <w:rPr>
                <w:rFonts w:eastAsia="Calibri" w:cstheme="minorHAnsi"/>
                <w:sz w:val="20"/>
                <w:szCs w:val="20"/>
              </w:rPr>
              <w:t>A</w:t>
            </w:r>
            <w:r w:rsidRPr="00576CD2">
              <w:rPr>
                <w:rFonts w:eastAsia="Calibri" w:cstheme="minorHAnsi"/>
                <w:spacing w:val="1"/>
                <w:sz w:val="20"/>
                <w:szCs w:val="20"/>
              </w:rPr>
              <w:t>n</w:t>
            </w:r>
            <w:r w:rsidRPr="00576CD2">
              <w:rPr>
                <w:rFonts w:eastAsia="Calibri" w:cstheme="minorHAnsi"/>
                <w:sz w:val="20"/>
                <w:szCs w:val="20"/>
              </w:rPr>
              <w:t>y</w:t>
            </w:r>
            <w:r w:rsidRPr="00576CD2">
              <w:rPr>
                <w:rFonts w:eastAsia="Calibri" w:cstheme="minorHAnsi"/>
                <w:spacing w:val="-1"/>
                <w:sz w:val="20"/>
                <w:szCs w:val="20"/>
              </w:rPr>
              <w:t xml:space="preserve"> </w:t>
            </w:r>
            <w:r w:rsidRPr="00576CD2">
              <w:rPr>
                <w:rFonts w:eastAsia="Calibri" w:cstheme="minorHAnsi"/>
                <w:sz w:val="20"/>
                <w:szCs w:val="20"/>
              </w:rPr>
              <w:t>S</w:t>
            </w:r>
            <w:r w:rsidRPr="00576CD2">
              <w:rPr>
                <w:rFonts w:eastAsia="Calibri" w:cstheme="minorHAnsi"/>
                <w:spacing w:val="-1"/>
                <w:sz w:val="20"/>
                <w:szCs w:val="20"/>
              </w:rPr>
              <w:t>e</w:t>
            </w:r>
            <w:r w:rsidRPr="00576CD2">
              <w:rPr>
                <w:rFonts w:eastAsia="Calibri" w:cstheme="minorHAnsi"/>
                <w:sz w:val="20"/>
                <w:szCs w:val="20"/>
              </w:rPr>
              <w:t>co</w:t>
            </w:r>
            <w:r w:rsidRPr="00576CD2">
              <w:rPr>
                <w:rFonts w:eastAsia="Calibri" w:cstheme="minorHAnsi"/>
                <w:spacing w:val="1"/>
                <w:sz w:val="20"/>
                <w:szCs w:val="20"/>
              </w:rPr>
              <w:t>nd</w:t>
            </w:r>
            <w:r w:rsidRPr="00576CD2">
              <w:rPr>
                <w:rFonts w:eastAsia="Calibri" w:cstheme="minorHAnsi"/>
                <w:sz w:val="20"/>
                <w:szCs w:val="20"/>
              </w:rPr>
              <w:t xml:space="preserve">ary </w:t>
            </w:r>
            <w:r w:rsidRPr="00576CD2">
              <w:rPr>
                <w:rFonts w:eastAsia="Calibri" w:cstheme="minorHAnsi"/>
                <w:position w:val="1"/>
                <w:sz w:val="20"/>
                <w:szCs w:val="20"/>
              </w:rPr>
              <w:t>I</w:t>
            </w:r>
            <w:r w:rsidRPr="00576CD2">
              <w:rPr>
                <w:rFonts w:eastAsia="Calibri" w:cstheme="minorHAnsi"/>
                <w:spacing w:val="1"/>
                <w:position w:val="1"/>
                <w:sz w:val="20"/>
                <w:szCs w:val="20"/>
              </w:rPr>
              <w:t>n</w:t>
            </w:r>
            <w:r w:rsidRPr="00576CD2">
              <w:rPr>
                <w:rFonts w:eastAsia="Calibri" w:cstheme="minorHAnsi"/>
                <w:position w:val="1"/>
                <w:sz w:val="20"/>
                <w:szCs w:val="20"/>
              </w:rPr>
              <w:t>ter</w:t>
            </w:r>
            <w:r w:rsidRPr="00576CD2">
              <w:rPr>
                <w:rFonts w:eastAsia="Calibri" w:cstheme="minorHAnsi"/>
                <w:spacing w:val="1"/>
                <w:position w:val="1"/>
                <w:sz w:val="20"/>
                <w:szCs w:val="20"/>
              </w:rPr>
              <w:t>v</w:t>
            </w:r>
            <w:r w:rsidRPr="00576CD2">
              <w:rPr>
                <w:rFonts w:eastAsia="Calibri" w:cstheme="minorHAnsi"/>
                <w:spacing w:val="-1"/>
                <w:position w:val="1"/>
                <w:sz w:val="20"/>
                <w:szCs w:val="20"/>
              </w:rPr>
              <w:t>e</w:t>
            </w:r>
            <w:r w:rsidRPr="00576CD2">
              <w:rPr>
                <w:rFonts w:eastAsia="Calibri" w:cstheme="minorHAnsi"/>
                <w:spacing w:val="1"/>
                <w:position w:val="1"/>
                <w:sz w:val="20"/>
                <w:szCs w:val="20"/>
              </w:rPr>
              <w:t>n</w:t>
            </w:r>
            <w:r w:rsidRPr="00576CD2">
              <w:rPr>
                <w:rFonts w:eastAsia="Calibri" w:cstheme="minorHAnsi"/>
                <w:position w:val="1"/>
                <w:sz w:val="20"/>
                <w:szCs w:val="20"/>
              </w:rPr>
              <w:t>ti</w:t>
            </w:r>
            <w:r w:rsidRPr="00576CD2">
              <w:rPr>
                <w:rFonts w:eastAsia="Calibri" w:cstheme="minorHAnsi"/>
                <w:spacing w:val="1"/>
                <w:position w:val="1"/>
                <w:sz w:val="20"/>
                <w:szCs w:val="20"/>
              </w:rPr>
              <w:t>o</w:t>
            </w:r>
            <w:r w:rsidRPr="00576CD2">
              <w:rPr>
                <w:rFonts w:eastAsia="Calibri" w:cstheme="minorHAnsi"/>
                <w:position w:val="1"/>
                <w:sz w:val="20"/>
                <w:szCs w:val="20"/>
              </w:rPr>
              <w:t>n</w:t>
            </w:r>
          </w:p>
        </w:tc>
        <w:tc>
          <w:tcPr>
            <w:tcW w:w="996"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629BBA1" w14:textId="410BD2AF"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6 (54.5%,6/11)</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4AF69E" w14:textId="764101C6" w:rsidR="00100184" w:rsidRPr="00576CD2" w:rsidRDefault="00100184"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0</w:t>
            </w:r>
          </w:p>
        </w:tc>
        <w:tc>
          <w:tcPr>
            <w:tcW w:w="111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D29F46" w14:textId="732DC137" w:rsidR="00100184" w:rsidRPr="00576CD2" w:rsidRDefault="002F0BDE" w:rsidP="00F7686D">
            <w:pPr>
              <w:spacing w:after="0" w:line="240" w:lineRule="auto"/>
              <w:ind w:left="144"/>
              <w:jc w:val="center"/>
              <w:rPr>
                <w:rFonts w:eastAsia="Calibri" w:cstheme="minorHAnsi"/>
                <w:w w:val="99"/>
                <w:sz w:val="20"/>
                <w:szCs w:val="20"/>
              </w:rPr>
            </w:pPr>
            <w:r w:rsidRPr="00576CD2">
              <w:rPr>
                <w:rFonts w:eastAsia="Calibri" w:cstheme="minorHAnsi"/>
                <w:w w:val="99"/>
                <w:sz w:val="20"/>
                <w:szCs w:val="20"/>
              </w:rPr>
              <w:t>5</w:t>
            </w:r>
          </w:p>
        </w:tc>
      </w:tr>
    </w:tbl>
    <w:p w14:paraId="5B3F0F3C" w14:textId="09B71D5D" w:rsidR="00C705F8" w:rsidRPr="00576CD2" w:rsidRDefault="00AA72C4" w:rsidP="005F6D68">
      <w:pPr>
        <w:spacing w:after="0" w:line="240" w:lineRule="auto"/>
        <w:ind w:left="720"/>
        <w:jc w:val="both"/>
        <w:rPr>
          <w:rFonts w:cstheme="minorHAnsi"/>
        </w:rPr>
      </w:pPr>
      <w:r w:rsidRPr="00576CD2">
        <w:rPr>
          <w:rFonts w:cstheme="minorHAnsi"/>
          <w:iCs/>
        </w:rPr>
        <w:t xml:space="preserve"> </w:t>
      </w:r>
    </w:p>
    <w:p w14:paraId="565EB258" w14:textId="77777777" w:rsidR="007039F5" w:rsidRPr="00576CD2" w:rsidRDefault="007039F5" w:rsidP="005F6D68">
      <w:pPr>
        <w:spacing w:after="0" w:line="240" w:lineRule="auto"/>
        <w:ind w:left="720"/>
        <w:jc w:val="both"/>
        <w:rPr>
          <w:rFonts w:cstheme="minorHAnsi"/>
        </w:rPr>
      </w:pPr>
    </w:p>
    <w:p w14:paraId="52921E11" w14:textId="77777777" w:rsidR="0092092F" w:rsidRPr="00576CD2" w:rsidRDefault="00DD1402" w:rsidP="006772C9">
      <w:pPr>
        <w:pStyle w:val="ListParagraph"/>
        <w:numPr>
          <w:ilvl w:val="0"/>
          <w:numId w:val="4"/>
        </w:numPr>
        <w:spacing w:line="240" w:lineRule="auto"/>
        <w:contextualSpacing w:val="0"/>
        <w:jc w:val="both"/>
        <w:rPr>
          <w:rFonts w:cstheme="minorHAnsi"/>
        </w:rPr>
      </w:pPr>
      <w:r w:rsidRPr="00576CD2">
        <w:rPr>
          <w:rFonts w:cstheme="minorHAnsi"/>
          <w:u w:val="single"/>
        </w:rPr>
        <w:t xml:space="preserve">Worldwide </w:t>
      </w:r>
      <w:r w:rsidR="00BC4266" w:rsidRPr="00576CD2">
        <w:rPr>
          <w:rFonts w:cstheme="minorHAnsi"/>
          <w:u w:val="single"/>
        </w:rPr>
        <w:t>Recall</w:t>
      </w:r>
      <w:r w:rsidR="00A25D7C" w:rsidRPr="00576CD2">
        <w:rPr>
          <w:rFonts w:cstheme="minorHAnsi"/>
          <w:u w:val="single"/>
        </w:rPr>
        <w:t>s</w:t>
      </w:r>
      <w:r w:rsidR="0083682F" w:rsidRPr="00576CD2">
        <w:rPr>
          <w:rFonts w:cstheme="minorHAnsi"/>
          <w:u w:val="single"/>
        </w:rPr>
        <w:t>, Safety Communications</w:t>
      </w:r>
      <w:r w:rsidR="00A25D7C" w:rsidRPr="00576CD2">
        <w:rPr>
          <w:rFonts w:cstheme="minorHAnsi"/>
          <w:u w:val="single"/>
        </w:rPr>
        <w:t xml:space="preserve"> and Field Safety Notices</w:t>
      </w:r>
      <w:r w:rsidR="00BC4266" w:rsidRPr="00576CD2">
        <w:rPr>
          <w:rFonts w:cstheme="minorHAnsi"/>
        </w:rPr>
        <w:t xml:space="preserve">: </w:t>
      </w:r>
    </w:p>
    <w:p w14:paraId="716912CD" w14:textId="6015C538" w:rsidR="00CB3CAB" w:rsidRPr="00576CD2" w:rsidRDefault="00CB3CAB" w:rsidP="006772C9">
      <w:pPr>
        <w:pStyle w:val="ListParagraph"/>
        <w:spacing w:line="240" w:lineRule="auto"/>
        <w:contextualSpacing w:val="0"/>
        <w:jc w:val="both"/>
        <w:rPr>
          <w:rFonts w:cstheme="minorHAnsi"/>
        </w:rPr>
      </w:pPr>
      <w:r w:rsidRPr="00576CD2">
        <w:rPr>
          <w:rFonts w:cstheme="minorHAnsi"/>
        </w:rPr>
        <w:t xml:space="preserve">There have been no US recalls, safety communications and/or Field Safety Notices for the </w:t>
      </w:r>
      <w:r w:rsidR="006772C9" w:rsidRPr="00576CD2">
        <w:rPr>
          <w:rFonts w:cstheme="minorHAnsi"/>
        </w:rPr>
        <w:t xml:space="preserve">RelayPro Thoracic </w:t>
      </w:r>
      <w:r w:rsidRPr="00576CD2">
        <w:rPr>
          <w:rFonts w:cstheme="minorHAnsi"/>
        </w:rPr>
        <w:t xml:space="preserve">Stent-Graft System in the period between </w:t>
      </w:r>
      <w:r w:rsidR="006772C9" w:rsidRPr="00576CD2">
        <w:rPr>
          <w:rFonts w:cstheme="minorHAnsi"/>
        </w:rPr>
        <w:t xml:space="preserve">August 5, </w:t>
      </w:r>
      <w:r w:rsidRPr="00576CD2">
        <w:rPr>
          <w:rFonts w:cstheme="minorHAnsi"/>
        </w:rPr>
        <w:t xml:space="preserve">2021 and </w:t>
      </w:r>
      <w:r w:rsidR="006772C9" w:rsidRPr="00576CD2">
        <w:rPr>
          <w:rFonts w:cstheme="minorHAnsi"/>
        </w:rPr>
        <w:t>Ju</w:t>
      </w:r>
      <w:r w:rsidR="00F3045F" w:rsidRPr="00576CD2">
        <w:rPr>
          <w:rFonts w:cstheme="minorHAnsi"/>
        </w:rPr>
        <w:t>ne 20</w:t>
      </w:r>
      <w:r w:rsidR="006772C9" w:rsidRPr="00576CD2">
        <w:rPr>
          <w:rFonts w:cstheme="minorHAnsi"/>
        </w:rPr>
        <w:t xml:space="preserve">, </w:t>
      </w:r>
      <w:r w:rsidRPr="00576CD2">
        <w:rPr>
          <w:rFonts w:cstheme="minorHAnsi"/>
        </w:rPr>
        <w:t>2022.</w:t>
      </w:r>
      <w:r w:rsidR="00FC75D8" w:rsidRPr="00576CD2">
        <w:rPr>
          <w:rFonts w:cstheme="minorHAnsi"/>
        </w:rPr>
        <w:t xml:space="preserve"> There was one field safety notification in </w:t>
      </w:r>
      <w:r w:rsidR="00FA6DDB" w:rsidRPr="00576CD2">
        <w:rPr>
          <w:rFonts w:cstheme="minorHAnsi"/>
        </w:rPr>
        <w:t>September</w:t>
      </w:r>
      <w:r w:rsidR="00FC75D8" w:rsidRPr="00576CD2">
        <w:rPr>
          <w:rFonts w:cstheme="minorHAnsi"/>
        </w:rPr>
        <w:t xml:space="preserve"> 2021 related to the incorrect </w:t>
      </w:r>
      <w:r w:rsidR="001F4BB6" w:rsidRPr="00576CD2">
        <w:rPr>
          <w:rFonts w:cstheme="minorHAnsi"/>
        </w:rPr>
        <w:t xml:space="preserve">identification </w:t>
      </w:r>
      <w:r w:rsidR="00FC75D8" w:rsidRPr="00576CD2">
        <w:rPr>
          <w:rFonts w:cstheme="minorHAnsi"/>
        </w:rPr>
        <w:lastRenderedPageBreak/>
        <w:t xml:space="preserve">of the tip to graft length on a subset of the RelayNBS Pro labels only OUS. The US </w:t>
      </w:r>
      <w:r w:rsidR="00065982" w:rsidRPr="00576CD2">
        <w:rPr>
          <w:rFonts w:cstheme="minorHAnsi"/>
        </w:rPr>
        <w:t xml:space="preserve">product </w:t>
      </w:r>
      <w:r w:rsidR="00FC75D8" w:rsidRPr="00576CD2">
        <w:rPr>
          <w:rFonts w:cstheme="minorHAnsi"/>
        </w:rPr>
        <w:t>w</w:t>
      </w:r>
      <w:r w:rsidR="00FA6DDB" w:rsidRPr="00576CD2">
        <w:rPr>
          <w:rFonts w:cstheme="minorHAnsi"/>
        </w:rPr>
        <w:t>as</w:t>
      </w:r>
      <w:r w:rsidR="00FC75D8" w:rsidRPr="00576CD2">
        <w:rPr>
          <w:rFonts w:cstheme="minorHAnsi"/>
        </w:rPr>
        <w:t xml:space="preserve"> unaffected</w:t>
      </w:r>
      <w:r w:rsidR="00270518" w:rsidRPr="00576CD2">
        <w:rPr>
          <w:rFonts w:cstheme="minorHAnsi"/>
        </w:rPr>
        <w:t>.</w:t>
      </w:r>
    </w:p>
    <w:p w14:paraId="0BFBD49E" w14:textId="327F3A64" w:rsidR="006A5E64" w:rsidRPr="00576CD2" w:rsidRDefault="003E3F02" w:rsidP="006772C9">
      <w:pPr>
        <w:pStyle w:val="ListParagraph"/>
        <w:numPr>
          <w:ilvl w:val="0"/>
          <w:numId w:val="4"/>
        </w:numPr>
        <w:spacing w:line="240" w:lineRule="auto"/>
        <w:contextualSpacing w:val="0"/>
        <w:jc w:val="both"/>
        <w:rPr>
          <w:rFonts w:cstheme="minorHAnsi"/>
          <w:i/>
          <w:iCs/>
        </w:rPr>
      </w:pPr>
      <w:r w:rsidRPr="00576CD2">
        <w:rPr>
          <w:rFonts w:cstheme="minorHAnsi"/>
          <w:u w:val="single"/>
        </w:rPr>
        <w:t>Worldwide Commercial Experience:</w:t>
      </w:r>
      <w:r w:rsidRPr="00576CD2">
        <w:rPr>
          <w:rFonts w:cstheme="minorHAnsi"/>
        </w:rPr>
        <w:t xml:space="preserve"> </w:t>
      </w:r>
    </w:p>
    <w:p w14:paraId="5ED32BAF" w14:textId="28CE6495" w:rsidR="003D00C7" w:rsidRPr="00576CD2" w:rsidRDefault="00ED46B5" w:rsidP="006772C9">
      <w:pPr>
        <w:pStyle w:val="ListParagraph"/>
        <w:spacing w:line="240" w:lineRule="auto"/>
        <w:contextualSpacing w:val="0"/>
        <w:jc w:val="both"/>
        <w:rPr>
          <w:rFonts w:cstheme="minorHAnsi"/>
          <w:u w:val="single"/>
        </w:rPr>
      </w:pPr>
      <w:r w:rsidRPr="00576CD2">
        <w:rPr>
          <w:rFonts w:cstheme="minorHAnsi"/>
        </w:rPr>
        <w:t>RelayPro</w:t>
      </w:r>
      <w:r w:rsidR="00DE50AC" w:rsidRPr="00576CD2">
        <w:rPr>
          <w:rFonts w:cstheme="minorHAnsi"/>
        </w:rPr>
        <w:t xml:space="preserve"> is distributed globally and receives feedback/learnings from this worldwide commercial use.  The following table summarizes the associated complaints received </w:t>
      </w:r>
      <w:r w:rsidR="00DE50AC" w:rsidRPr="00576CD2">
        <w:rPr>
          <w:rFonts w:cstheme="minorHAnsi"/>
          <w:iCs/>
        </w:rPr>
        <w:t xml:space="preserve">between </w:t>
      </w:r>
      <w:r w:rsidRPr="00576CD2">
        <w:rPr>
          <w:rFonts w:cstheme="minorHAnsi"/>
          <w:iCs/>
        </w:rPr>
        <w:t>August</w:t>
      </w:r>
      <w:r w:rsidR="00DE50AC" w:rsidRPr="00576CD2">
        <w:rPr>
          <w:rFonts w:cstheme="minorHAnsi"/>
          <w:iCs/>
        </w:rPr>
        <w:t xml:space="preserve"> </w:t>
      </w:r>
      <w:r w:rsidR="006772C9" w:rsidRPr="00576CD2">
        <w:rPr>
          <w:rFonts w:cstheme="minorHAnsi"/>
          <w:iCs/>
        </w:rPr>
        <w:t xml:space="preserve">5, </w:t>
      </w:r>
      <w:r w:rsidR="00DE50AC" w:rsidRPr="00576CD2">
        <w:rPr>
          <w:rFonts w:cstheme="minorHAnsi"/>
          <w:iCs/>
        </w:rPr>
        <w:t xml:space="preserve">2021 and </w:t>
      </w:r>
      <w:r w:rsidR="006772C9" w:rsidRPr="00576CD2">
        <w:rPr>
          <w:rFonts w:cstheme="minorHAnsi"/>
          <w:iCs/>
        </w:rPr>
        <w:t>Ju</w:t>
      </w:r>
      <w:r w:rsidR="004E14E4" w:rsidRPr="00576CD2">
        <w:rPr>
          <w:rFonts w:cstheme="minorHAnsi"/>
          <w:iCs/>
        </w:rPr>
        <w:t xml:space="preserve">ne </w:t>
      </w:r>
      <w:r w:rsidR="00901D23" w:rsidRPr="00576CD2">
        <w:rPr>
          <w:rFonts w:cstheme="minorHAnsi"/>
          <w:iCs/>
        </w:rPr>
        <w:t>20</w:t>
      </w:r>
      <w:r w:rsidR="006772C9" w:rsidRPr="00576CD2">
        <w:rPr>
          <w:rFonts w:cstheme="minorHAnsi"/>
          <w:iCs/>
        </w:rPr>
        <w:t>, 2022.</w:t>
      </w:r>
      <w:r w:rsidR="00DE50AC" w:rsidRPr="00576CD2">
        <w:rPr>
          <w:rFonts w:cstheme="minorHAnsi"/>
          <w:u w:val="single"/>
        </w:rPr>
        <w:t xml:space="preserve">  </w:t>
      </w:r>
    </w:p>
    <w:tbl>
      <w:tblPr>
        <w:tblStyle w:val="TableGrid1"/>
        <w:tblW w:w="4765" w:type="pct"/>
        <w:tblInd w:w="355" w:type="dxa"/>
        <w:tblLook w:val="04A0" w:firstRow="1" w:lastRow="0" w:firstColumn="1" w:lastColumn="0" w:noHBand="0" w:noVBand="1"/>
      </w:tblPr>
      <w:tblGrid>
        <w:gridCol w:w="5619"/>
        <w:gridCol w:w="1852"/>
        <w:gridCol w:w="1440"/>
      </w:tblGrid>
      <w:tr w:rsidR="00576CD2" w:rsidRPr="00576CD2" w14:paraId="4070B3BE" w14:textId="77777777" w:rsidTr="00AF31F7">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F035C" w14:textId="508741F7" w:rsidR="00AF31F7" w:rsidRPr="00576CD2" w:rsidRDefault="00AF31F7" w:rsidP="00AF31F7">
            <w:pPr>
              <w:rPr>
                <w:b/>
                <w:bCs/>
                <w:sz w:val="20"/>
                <w:szCs w:val="20"/>
              </w:rPr>
            </w:pPr>
            <w:r w:rsidRPr="00576CD2">
              <w:rPr>
                <w:b/>
                <w:bCs/>
                <w:sz w:val="20"/>
                <w:szCs w:val="20"/>
              </w:rPr>
              <w:t xml:space="preserve">Table </w:t>
            </w:r>
            <w:r w:rsidRPr="00576CD2">
              <w:rPr>
                <w:b/>
                <w:bCs/>
                <w:sz w:val="20"/>
                <w:szCs w:val="20"/>
              </w:rPr>
              <w:fldChar w:fldCharType="begin"/>
            </w:r>
            <w:r w:rsidRPr="00576CD2">
              <w:rPr>
                <w:b/>
                <w:bCs/>
                <w:sz w:val="20"/>
                <w:szCs w:val="20"/>
              </w:rPr>
              <w:instrText xml:space="preserve"> SEQ Table \* ARABIC </w:instrText>
            </w:r>
            <w:r w:rsidRPr="00576CD2">
              <w:rPr>
                <w:b/>
                <w:bCs/>
                <w:sz w:val="20"/>
                <w:szCs w:val="20"/>
              </w:rPr>
              <w:fldChar w:fldCharType="separate"/>
            </w:r>
            <w:r w:rsidR="007A0BFD">
              <w:rPr>
                <w:b/>
                <w:bCs/>
                <w:noProof/>
                <w:sz w:val="20"/>
                <w:szCs w:val="20"/>
              </w:rPr>
              <w:t>4</w:t>
            </w:r>
            <w:r w:rsidRPr="00576CD2">
              <w:rPr>
                <w:b/>
                <w:bCs/>
                <w:sz w:val="20"/>
                <w:szCs w:val="20"/>
              </w:rPr>
              <w:fldChar w:fldCharType="end"/>
            </w:r>
            <w:r w:rsidRPr="00576CD2">
              <w:rPr>
                <w:rFonts w:cstheme="minorHAnsi"/>
                <w:b/>
                <w:sz w:val="20"/>
                <w:szCs w:val="20"/>
              </w:rPr>
              <w:t>: Complaints</w:t>
            </w:r>
          </w:p>
        </w:tc>
      </w:tr>
      <w:tr w:rsidR="00576CD2" w:rsidRPr="00576CD2" w14:paraId="00ADCA43" w14:textId="77777777" w:rsidTr="00845CD0">
        <w:trPr>
          <w:trHeight w:val="20"/>
          <w:tblHeader/>
        </w:trPr>
        <w:tc>
          <w:tcPr>
            <w:tcW w:w="3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4BBA6" w14:textId="697DBFD4" w:rsidR="002D5003" w:rsidRPr="00576CD2" w:rsidRDefault="002D5003" w:rsidP="00E70DF0">
            <w:pPr>
              <w:ind w:firstLine="80"/>
              <w:rPr>
                <w:b/>
                <w:sz w:val="20"/>
                <w:szCs w:val="20"/>
              </w:rPr>
            </w:pPr>
            <w:r w:rsidRPr="00576CD2">
              <w:rPr>
                <w:rFonts w:cstheme="minorHAnsi"/>
                <w:b/>
                <w:sz w:val="20"/>
                <w:szCs w:val="20"/>
              </w:rPr>
              <w:t xml:space="preserve">Failure Mode Description </w:t>
            </w:r>
          </w:p>
        </w:tc>
        <w:tc>
          <w:tcPr>
            <w:tcW w:w="10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F919E" w14:textId="77777777" w:rsidR="002D5003" w:rsidRPr="00576CD2" w:rsidRDefault="002D5003" w:rsidP="00D33975">
            <w:pPr>
              <w:jc w:val="center"/>
              <w:rPr>
                <w:b/>
                <w:sz w:val="20"/>
                <w:szCs w:val="20"/>
              </w:rPr>
            </w:pPr>
            <w:r w:rsidRPr="00576CD2">
              <w:rPr>
                <w:b/>
                <w:bCs/>
                <w:sz w:val="20"/>
                <w:szCs w:val="20"/>
              </w:rPr>
              <w:t># of complaints per failure mode</w:t>
            </w:r>
          </w:p>
        </w:tc>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22AB9" w14:textId="1BCD39B3" w:rsidR="002D5003" w:rsidRPr="00576CD2" w:rsidRDefault="002D5003" w:rsidP="00D33975">
            <w:pPr>
              <w:jc w:val="center"/>
              <w:rPr>
                <w:b/>
                <w:bCs/>
                <w:sz w:val="20"/>
                <w:szCs w:val="20"/>
              </w:rPr>
            </w:pPr>
            <w:r w:rsidRPr="00576CD2">
              <w:rPr>
                <w:b/>
                <w:bCs/>
                <w:sz w:val="20"/>
                <w:szCs w:val="20"/>
              </w:rPr>
              <w:t>MDR Filed</w:t>
            </w:r>
            <w:r w:rsidR="00B23EAA" w:rsidRPr="00576CD2">
              <w:rPr>
                <w:b/>
                <w:bCs/>
                <w:sz w:val="20"/>
                <w:szCs w:val="20"/>
              </w:rPr>
              <w:t xml:space="preserve"> </w:t>
            </w:r>
          </w:p>
        </w:tc>
      </w:tr>
      <w:tr w:rsidR="00576CD2" w:rsidRPr="00576CD2" w14:paraId="2DB72879"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3511A8" w14:textId="77777777" w:rsidR="002D5003" w:rsidRPr="00576CD2" w:rsidRDefault="002D5003" w:rsidP="00D33975">
            <w:pPr>
              <w:ind w:firstLine="75"/>
              <w:rPr>
                <w:b/>
                <w:sz w:val="20"/>
                <w:szCs w:val="20"/>
              </w:rPr>
            </w:pPr>
            <w:r w:rsidRPr="00576CD2">
              <w:rPr>
                <w:b/>
                <w:sz w:val="20"/>
                <w:szCs w:val="20"/>
              </w:rPr>
              <w:t>Clinical Observations</w:t>
            </w:r>
          </w:p>
        </w:tc>
        <w:tc>
          <w:tcPr>
            <w:tcW w:w="10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31F0A" w14:textId="77777777" w:rsidR="002D5003" w:rsidRPr="00576CD2" w:rsidRDefault="002D5003" w:rsidP="00D33975">
            <w:pPr>
              <w:jc w:val="center"/>
              <w:rPr>
                <w:b/>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AB322" w14:textId="77777777" w:rsidR="002D5003" w:rsidRPr="00576CD2" w:rsidRDefault="002D5003" w:rsidP="00D33975">
            <w:pPr>
              <w:jc w:val="center"/>
              <w:rPr>
                <w:b/>
                <w:sz w:val="20"/>
                <w:szCs w:val="20"/>
              </w:rPr>
            </w:pPr>
          </w:p>
        </w:tc>
      </w:tr>
      <w:tr w:rsidR="00576CD2" w:rsidRPr="00576CD2" w14:paraId="621A8AC2"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35948676" w14:textId="61BE91F8" w:rsidR="007249F4" w:rsidRPr="00576CD2" w:rsidRDefault="00C14669" w:rsidP="007249F4">
            <w:pPr>
              <w:ind w:left="344" w:hanging="285"/>
              <w:rPr>
                <w:sz w:val="20"/>
                <w:szCs w:val="20"/>
              </w:rPr>
            </w:pPr>
            <w:r w:rsidRPr="00576CD2">
              <w:rPr>
                <w:sz w:val="20"/>
                <w:szCs w:val="20"/>
              </w:rPr>
              <w:t>Type I Endoleak</w:t>
            </w:r>
          </w:p>
        </w:tc>
        <w:tc>
          <w:tcPr>
            <w:tcW w:w="1039" w:type="pct"/>
            <w:tcBorders>
              <w:top w:val="single" w:sz="4" w:space="0" w:color="auto"/>
              <w:left w:val="single" w:sz="4" w:space="0" w:color="auto"/>
              <w:bottom w:val="single" w:sz="4" w:space="0" w:color="auto"/>
              <w:right w:val="single" w:sz="4" w:space="0" w:color="auto"/>
            </w:tcBorders>
            <w:vAlign w:val="center"/>
          </w:tcPr>
          <w:p w14:paraId="1DF72879" w14:textId="40F0FB6C" w:rsidR="007249F4" w:rsidRPr="00576CD2" w:rsidRDefault="00C14669" w:rsidP="00A52261">
            <w:pPr>
              <w:jc w:val="center"/>
              <w:rPr>
                <w:sz w:val="20"/>
                <w:szCs w:val="20"/>
              </w:rPr>
            </w:pPr>
            <w:r w:rsidRPr="00576CD2">
              <w:rPr>
                <w:sz w:val="20"/>
                <w:szCs w:val="20"/>
              </w:rPr>
              <w:t xml:space="preserve">3 </w:t>
            </w:r>
          </w:p>
        </w:tc>
        <w:tc>
          <w:tcPr>
            <w:tcW w:w="808" w:type="pct"/>
            <w:tcBorders>
              <w:top w:val="single" w:sz="4" w:space="0" w:color="auto"/>
              <w:left w:val="single" w:sz="4" w:space="0" w:color="auto"/>
              <w:bottom w:val="single" w:sz="4" w:space="0" w:color="auto"/>
              <w:right w:val="single" w:sz="4" w:space="0" w:color="auto"/>
            </w:tcBorders>
            <w:vAlign w:val="center"/>
          </w:tcPr>
          <w:p w14:paraId="2DD86800" w14:textId="0522A149" w:rsidR="007249F4" w:rsidRPr="00576CD2" w:rsidRDefault="007431BA" w:rsidP="007249F4">
            <w:pPr>
              <w:jc w:val="center"/>
              <w:rPr>
                <w:sz w:val="20"/>
                <w:szCs w:val="20"/>
              </w:rPr>
            </w:pPr>
            <w:r w:rsidRPr="00576CD2">
              <w:rPr>
                <w:sz w:val="20"/>
                <w:szCs w:val="20"/>
              </w:rPr>
              <w:t>Y</w:t>
            </w:r>
            <w:r w:rsidR="00746CF5" w:rsidRPr="00576CD2">
              <w:rPr>
                <w:sz w:val="20"/>
                <w:szCs w:val="20"/>
              </w:rPr>
              <w:t>es</w:t>
            </w:r>
          </w:p>
        </w:tc>
      </w:tr>
      <w:tr w:rsidR="00576CD2" w:rsidRPr="00576CD2" w14:paraId="440CD293"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2F4A2E9C" w14:textId="66F2BEF1" w:rsidR="007249F4" w:rsidRPr="00576CD2" w:rsidRDefault="00C14669" w:rsidP="007249F4">
            <w:pPr>
              <w:ind w:left="344" w:hanging="285"/>
              <w:rPr>
                <w:sz w:val="20"/>
                <w:szCs w:val="20"/>
              </w:rPr>
            </w:pPr>
            <w:r w:rsidRPr="00576CD2">
              <w:rPr>
                <w:sz w:val="20"/>
                <w:szCs w:val="20"/>
              </w:rPr>
              <w:t>Type II Endoleak; Migration /Displacement</w:t>
            </w:r>
          </w:p>
        </w:tc>
        <w:tc>
          <w:tcPr>
            <w:tcW w:w="1039" w:type="pct"/>
            <w:tcBorders>
              <w:top w:val="single" w:sz="4" w:space="0" w:color="auto"/>
              <w:left w:val="single" w:sz="4" w:space="0" w:color="auto"/>
              <w:bottom w:val="single" w:sz="4" w:space="0" w:color="auto"/>
              <w:right w:val="single" w:sz="4" w:space="0" w:color="auto"/>
            </w:tcBorders>
            <w:vAlign w:val="center"/>
          </w:tcPr>
          <w:p w14:paraId="4BEAF35C" w14:textId="388902B2" w:rsidR="007249F4" w:rsidRPr="00576CD2" w:rsidDel="002A0770" w:rsidRDefault="00C14669" w:rsidP="00A52261">
            <w:pPr>
              <w:jc w:val="center"/>
              <w:rPr>
                <w:sz w:val="20"/>
                <w:szCs w:val="20"/>
              </w:rPr>
            </w:pPr>
            <w:r w:rsidRPr="00576CD2">
              <w:rPr>
                <w:sz w:val="20"/>
                <w:szCs w:val="20"/>
              </w:rPr>
              <w:t xml:space="preserve">3 </w:t>
            </w:r>
          </w:p>
        </w:tc>
        <w:tc>
          <w:tcPr>
            <w:tcW w:w="808" w:type="pct"/>
            <w:tcBorders>
              <w:top w:val="single" w:sz="4" w:space="0" w:color="auto"/>
              <w:left w:val="single" w:sz="4" w:space="0" w:color="auto"/>
              <w:bottom w:val="single" w:sz="4" w:space="0" w:color="auto"/>
              <w:right w:val="single" w:sz="4" w:space="0" w:color="auto"/>
            </w:tcBorders>
            <w:vAlign w:val="center"/>
          </w:tcPr>
          <w:p w14:paraId="0F86DE5A" w14:textId="4C87493E" w:rsidR="007249F4" w:rsidRPr="00576CD2" w:rsidRDefault="007431BA" w:rsidP="007249F4">
            <w:pPr>
              <w:jc w:val="center"/>
              <w:rPr>
                <w:sz w:val="20"/>
                <w:szCs w:val="20"/>
              </w:rPr>
            </w:pPr>
            <w:r w:rsidRPr="00576CD2">
              <w:rPr>
                <w:sz w:val="20"/>
                <w:szCs w:val="20"/>
              </w:rPr>
              <w:t>Y</w:t>
            </w:r>
            <w:r w:rsidR="00746CF5" w:rsidRPr="00576CD2">
              <w:rPr>
                <w:sz w:val="20"/>
                <w:szCs w:val="20"/>
              </w:rPr>
              <w:t>es</w:t>
            </w:r>
          </w:p>
        </w:tc>
      </w:tr>
      <w:tr w:rsidR="00576CD2" w:rsidRPr="00576CD2" w14:paraId="0666AA58"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5DDF6B4F" w14:textId="09941A51" w:rsidR="00C14669" w:rsidRPr="00576CD2" w:rsidRDefault="00C14669" w:rsidP="00C14669">
            <w:pPr>
              <w:ind w:left="344" w:hanging="285"/>
              <w:rPr>
                <w:sz w:val="20"/>
                <w:szCs w:val="20"/>
              </w:rPr>
            </w:pPr>
            <w:r w:rsidRPr="00576CD2">
              <w:rPr>
                <w:sz w:val="20"/>
                <w:szCs w:val="20"/>
              </w:rPr>
              <w:t>Type III Endoleak</w:t>
            </w:r>
          </w:p>
        </w:tc>
        <w:tc>
          <w:tcPr>
            <w:tcW w:w="1039" w:type="pct"/>
            <w:tcBorders>
              <w:top w:val="single" w:sz="4" w:space="0" w:color="auto"/>
              <w:left w:val="single" w:sz="4" w:space="0" w:color="auto"/>
              <w:bottom w:val="single" w:sz="4" w:space="0" w:color="auto"/>
              <w:right w:val="single" w:sz="4" w:space="0" w:color="auto"/>
            </w:tcBorders>
            <w:vAlign w:val="center"/>
          </w:tcPr>
          <w:p w14:paraId="5F24990D" w14:textId="690AF2CA" w:rsidR="00C14669" w:rsidRPr="00576CD2" w:rsidRDefault="00C14669" w:rsidP="00A52261">
            <w:pPr>
              <w:jc w:val="center"/>
              <w:rPr>
                <w:sz w:val="20"/>
                <w:szCs w:val="20"/>
              </w:rPr>
            </w:pPr>
            <w:r w:rsidRPr="00576CD2">
              <w:rPr>
                <w:sz w:val="20"/>
                <w:szCs w:val="20"/>
              </w:rPr>
              <w:t>1</w:t>
            </w:r>
          </w:p>
        </w:tc>
        <w:tc>
          <w:tcPr>
            <w:tcW w:w="808" w:type="pct"/>
            <w:tcBorders>
              <w:top w:val="single" w:sz="4" w:space="0" w:color="auto"/>
              <w:left w:val="single" w:sz="4" w:space="0" w:color="auto"/>
              <w:bottom w:val="single" w:sz="4" w:space="0" w:color="auto"/>
              <w:right w:val="single" w:sz="4" w:space="0" w:color="auto"/>
            </w:tcBorders>
            <w:vAlign w:val="center"/>
          </w:tcPr>
          <w:p w14:paraId="1A108262" w14:textId="7F53709B" w:rsidR="00C14669" w:rsidRPr="00576CD2" w:rsidRDefault="007431BA" w:rsidP="00C14669">
            <w:pPr>
              <w:jc w:val="center"/>
              <w:rPr>
                <w:sz w:val="20"/>
                <w:szCs w:val="20"/>
              </w:rPr>
            </w:pPr>
            <w:r w:rsidRPr="00576CD2">
              <w:rPr>
                <w:sz w:val="20"/>
                <w:szCs w:val="20"/>
              </w:rPr>
              <w:t>Y</w:t>
            </w:r>
            <w:r w:rsidR="00746CF5" w:rsidRPr="00576CD2">
              <w:rPr>
                <w:sz w:val="20"/>
                <w:szCs w:val="20"/>
              </w:rPr>
              <w:t>es</w:t>
            </w:r>
          </w:p>
        </w:tc>
      </w:tr>
      <w:tr w:rsidR="00576CD2" w:rsidRPr="00576CD2" w14:paraId="28931C48"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2387B34E" w14:textId="77777777" w:rsidR="00BD20F7" w:rsidRPr="00576CD2" w:rsidRDefault="00BD20F7">
            <w:pPr>
              <w:ind w:left="344" w:hanging="285"/>
              <w:rPr>
                <w:sz w:val="20"/>
                <w:szCs w:val="20"/>
              </w:rPr>
            </w:pPr>
            <w:r w:rsidRPr="00576CD2">
              <w:rPr>
                <w:sz w:val="20"/>
                <w:szCs w:val="20"/>
              </w:rPr>
              <w:t>Migration / Displacement; Difficult to release proximal stent / Unable to remove the device safely; Other adverse event post-procedure resulting in death</w:t>
            </w:r>
          </w:p>
        </w:tc>
        <w:tc>
          <w:tcPr>
            <w:tcW w:w="1039" w:type="pct"/>
            <w:tcBorders>
              <w:top w:val="single" w:sz="4" w:space="0" w:color="auto"/>
              <w:left w:val="single" w:sz="4" w:space="0" w:color="auto"/>
              <w:bottom w:val="single" w:sz="4" w:space="0" w:color="auto"/>
              <w:right w:val="single" w:sz="4" w:space="0" w:color="auto"/>
            </w:tcBorders>
            <w:vAlign w:val="center"/>
          </w:tcPr>
          <w:p w14:paraId="378E4FA5" w14:textId="03017487" w:rsidR="00BD20F7" w:rsidRPr="00576CD2" w:rsidRDefault="00BD20F7" w:rsidP="00A52261">
            <w:pPr>
              <w:jc w:val="center"/>
              <w:rPr>
                <w:sz w:val="20"/>
                <w:szCs w:val="20"/>
              </w:rPr>
            </w:pPr>
            <w:r w:rsidRPr="00576CD2">
              <w:rPr>
                <w:sz w:val="20"/>
                <w:szCs w:val="20"/>
              </w:rPr>
              <w:t xml:space="preserve">2 </w:t>
            </w:r>
          </w:p>
        </w:tc>
        <w:tc>
          <w:tcPr>
            <w:tcW w:w="808" w:type="pct"/>
            <w:tcBorders>
              <w:top w:val="single" w:sz="4" w:space="0" w:color="auto"/>
              <w:left w:val="single" w:sz="4" w:space="0" w:color="auto"/>
              <w:bottom w:val="single" w:sz="4" w:space="0" w:color="auto"/>
              <w:right w:val="single" w:sz="4" w:space="0" w:color="auto"/>
            </w:tcBorders>
            <w:vAlign w:val="center"/>
          </w:tcPr>
          <w:p w14:paraId="699231F3" w14:textId="77E378A2" w:rsidR="00BD20F7" w:rsidRPr="00576CD2" w:rsidRDefault="00BD20F7">
            <w:pPr>
              <w:jc w:val="center"/>
              <w:rPr>
                <w:sz w:val="20"/>
                <w:szCs w:val="20"/>
              </w:rPr>
            </w:pPr>
            <w:r w:rsidRPr="00576CD2">
              <w:rPr>
                <w:sz w:val="20"/>
                <w:szCs w:val="20"/>
              </w:rPr>
              <w:t>Yes</w:t>
            </w:r>
          </w:p>
        </w:tc>
      </w:tr>
      <w:tr w:rsidR="00576CD2" w:rsidRPr="00576CD2" w14:paraId="5726B1E8"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4021DA45" w14:textId="77777777" w:rsidR="001B5275" w:rsidRPr="00576CD2" w:rsidRDefault="001B5275">
            <w:pPr>
              <w:ind w:left="344" w:hanging="285"/>
              <w:rPr>
                <w:sz w:val="20"/>
                <w:szCs w:val="20"/>
              </w:rPr>
            </w:pPr>
            <w:r w:rsidRPr="00576CD2">
              <w:rPr>
                <w:sz w:val="20"/>
                <w:szCs w:val="20"/>
              </w:rPr>
              <w:t>Perforation of vessel; Intraoperative patient death; Unable / difficult to advance the device through the entry vessel</w:t>
            </w:r>
          </w:p>
        </w:tc>
        <w:tc>
          <w:tcPr>
            <w:tcW w:w="1039" w:type="pct"/>
            <w:tcBorders>
              <w:top w:val="single" w:sz="4" w:space="0" w:color="auto"/>
              <w:left w:val="single" w:sz="4" w:space="0" w:color="auto"/>
              <w:bottom w:val="single" w:sz="4" w:space="0" w:color="auto"/>
              <w:right w:val="single" w:sz="4" w:space="0" w:color="auto"/>
            </w:tcBorders>
            <w:vAlign w:val="center"/>
          </w:tcPr>
          <w:p w14:paraId="5F28D3A5" w14:textId="6EF3FDE4" w:rsidR="001B5275" w:rsidRPr="00576CD2" w:rsidRDefault="001B5275" w:rsidP="00A52261">
            <w:pPr>
              <w:jc w:val="center"/>
              <w:rPr>
                <w:sz w:val="20"/>
                <w:szCs w:val="20"/>
              </w:rPr>
            </w:pPr>
            <w:r w:rsidRPr="00576CD2">
              <w:rPr>
                <w:sz w:val="20"/>
                <w:szCs w:val="20"/>
              </w:rPr>
              <w:t xml:space="preserve">1 </w:t>
            </w:r>
          </w:p>
        </w:tc>
        <w:tc>
          <w:tcPr>
            <w:tcW w:w="808" w:type="pct"/>
            <w:tcBorders>
              <w:top w:val="single" w:sz="4" w:space="0" w:color="auto"/>
              <w:left w:val="single" w:sz="4" w:space="0" w:color="auto"/>
              <w:bottom w:val="single" w:sz="4" w:space="0" w:color="auto"/>
              <w:right w:val="single" w:sz="4" w:space="0" w:color="auto"/>
            </w:tcBorders>
            <w:vAlign w:val="center"/>
          </w:tcPr>
          <w:p w14:paraId="3C4C535C" w14:textId="219221B6" w:rsidR="001B5275" w:rsidRPr="00576CD2" w:rsidRDefault="007431BA">
            <w:pPr>
              <w:jc w:val="center"/>
              <w:rPr>
                <w:sz w:val="20"/>
                <w:szCs w:val="20"/>
              </w:rPr>
            </w:pPr>
            <w:r w:rsidRPr="00576CD2">
              <w:rPr>
                <w:sz w:val="20"/>
                <w:szCs w:val="20"/>
              </w:rPr>
              <w:t>Y</w:t>
            </w:r>
            <w:r w:rsidR="00746CF5" w:rsidRPr="00576CD2">
              <w:rPr>
                <w:sz w:val="20"/>
                <w:szCs w:val="20"/>
              </w:rPr>
              <w:t>es</w:t>
            </w:r>
          </w:p>
        </w:tc>
      </w:tr>
      <w:tr w:rsidR="00576CD2" w:rsidRPr="00576CD2" w14:paraId="02935E40"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376B2973" w14:textId="06A6522F" w:rsidR="000B32A7" w:rsidRPr="00576CD2" w:rsidRDefault="000B32A7" w:rsidP="00C14669">
            <w:pPr>
              <w:ind w:left="344" w:hanging="285"/>
              <w:rPr>
                <w:sz w:val="20"/>
                <w:szCs w:val="20"/>
              </w:rPr>
            </w:pPr>
            <w:r w:rsidRPr="00576CD2">
              <w:rPr>
                <w:sz w:val="20"/>
                <w:szCs w:val="20"/>
              </w:rPr>
              <w:t>Paraplegia</w:t>
            </w:r>
          </w:p>
        </w:tc>
        <w:tc>
          <w:tcPr>
            <w:tcW w:w="1039" w:type="pct"/>
            <w:tcBorders>
              <w:top w:val="single" w:sz="4" w:space="0" w:color="auto"/>
              <w:left w:val="single" w:sz="4" w:space="0" w:color="auto"/>
              <w:bottom w:val="single" w:sz="4" w:space="0" w:color="auto"/>
              <w:right w:val="single" w:sz="4" w:space="0" w:color="auto"/>
            </w:tcBorders>
            <w:vAlign w:val="center"/>
          </w:tcPr>
          <w:p w14:paraId="2521E26B" w14:textId="0F08C09B" w:rsidR="000B32A7" w:rsidRPr="00576CD2" w:rsidRDefault="000B32A7" w:rsidP="00A52261">
            <w:pPr>
              <w:jc w:val="center"/>
              <w:rPr>
                <w:sz w:val="20"/>
                <w:szCs w:val="20"/>
              </w:rPr>
            </w:pPr>
            <w:r w:rsidRPr="00576CD2">
              <w:rPr>
                <w:sz w:val="20"/>
                <w:szCs w:val="20"/>
              </w:rPr>
              <w:t xml:space="preserve">1 </w:t>
            </w:r>
          </w:p>
        </w:tc>
        <w:tc>
          <w:tcPr>
            <w:tcW w:w="808" w:type="pct"/>
            <w:tcBorders>
              <w:top w:val="single" w:sz="4" w:space="0" w:color="auto"/>
              <w:left w:val="single" w:sz="4" w:space="0" w:color="auto"/>
              <w:bottom w:val="single" w:sz="4" w:space="0" w:color="auto"/>
              <w:right w:val="single" w:sz="4" w:space="0" w:color="auto"/>
            </w:tcBorders>
            <w:vAlign w:val="center"/>
          </w:tcPr>
          <w:p w14:paraId="1FF7DAD8" w14:textId="47C88B51" w:rsidR="000B32A7" w:rsidRPr="00576CD2" w:rsidRDefault="007431BA" w:rsidP="00C14669">
            <w:pPr>
              <w:jc w:val="center"/>
              <w:rPr>
                <w:sz w:val="20"/>
                <w:szCs w:val="20"/>
              </w:rPr>
            </w:pPr>
            <w:r w:rsidRPr="00576CD2">
              <w:rPr>
                <w:sz w:val="20"/>
                <w:szCs w:val="20"/>
              </w:rPr>
              <w:t>Y</w:t>
            </w:r>
            <w:r w:rsidR="00746CF5" w:rsidRPr="00576CD2">
              <w:rPr>
                <w:sz w:val="20"/>
                <w:szCs w:val="20"/>
              </w:rPr>
              <w:t>es</w:t>
            </w:r>
          </w:p>
        </w:tc>
      </w:tr>
      <w:tr w:rsidR="00576CD2" w:rsidRPr="00576CD2" w14:paraId="5BB4A3EB"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103130C8" w14:textId="4786802D" w:rsidR="003B3001" w:rsidRPr="00576CD2" w:rsidRDefault="00DF0557" w:rsidP="00C14669">
            <w:pPr>
              <w:ind w:left="344" w:hanging="285"/>
              <w:rPr>
                <w:sz w:val="20"/>
                <w:szCs w:val="20"/>
              </w:rPr>
            </w:pPr>
            <w:r w:rsidRPr="00576CD2">
              <w:rPr>
                <w:sz w:val="20"/>
                <w:szCs w:val="20"/>
              </w:rPr>
              <w:t>Infolding</w:t>
            </w:r>
            <w:r w:rsidR="003B3001" w:rsidRPr="00576CD2">
              <w:rPr>
                <w:sz w:val="20"/>
                <w:szCs w:val="20"/>
              </w:rPr>
              <w:t xml:space="preserve"> of the stent-graft</w:t>
            </w:r>
          </w:p>
        </w:tc>
        <w:tc>
          <w:tcPr>
            <w:tcW w:w="1039" w:type="pct"/>
            <w:tcBorders>
              <w:top w:val="single" w:sz="4" w:space="0" w:color="auto"/>
              <w:left w:val="single" w:sz="4" w:space="0" w:color="auto"/>
              <w:bottom w:val="single" w:sz="4" w:space="0" w:color="auto"/>
              <w:right w:val="single" w:sz="4" w:space="0" w:color="auto"/>
            </w:tcBorders>
            <w:vAlign w:val="center"/>
          </w:tcPr>
          <w:p w14:paraId="4A292AF8" w14:textId="40F73618" w:rsidR="003B3001" w:rsidRPr="00576CD2" w:rsidRDefault="009208B0" w:rsidP="00A52261">
            <w:pPr>
              <w:jc w:val="center"/>
              <w:rPr>
                <w:sz w:val="20"/>
                <w:szCs w:val="20"/>
              </w:rPr>
            </w:pPr>
            <w:r w:rsidRPr="00576CD2">
              <w:rPr>
                <w:sz w:val="20"/>
                <w:szCs w:val="20"/>
              </w:rPr>
              <w:t xml:space="preserve">1 </w:t>
            </w:r>
          </w:p>
        </w:tc>
        <w:tc>
          <w:tcPr>
            <w:tcW w:w="808" w:type="pct"/>
            <w:tcBorders>
              <w:top w:val="single" w:sz="4" w:space="0" w:color="auto"/>
              <w:left w:val="single" w:sz="4" w:space="0" w:color="auto"/>
              <w:bottom w:val="single" w:sz="4" w:space="0" w:color="auto"/>
              <w:right w:val="single" w:sz="4" w:space="0" w:color="auto"/>
            </w:tcBorders>
            <w:vAlign w:val="center"/>
          </w:tcPr>
          <w:p w14:paraId="28623C6B" w14:textId="4DD2B604" w:rsidR="003B3001" w:rsidRPr="00576CD2" w:rsidRDefault="007431BA" w:rsidP="00C14669">
            <w:pPr>
              <w:jc w:val="center"/>
              <w:rPr>
                <w:sz w:val="20"/>
                <w:szCs w:val="20"/>
              </w:rPr>
            </w:pPr>
            <w:r w:rsidRPr="00576CD2">
              <w:rPr>
                <w:sz w:val="20"/>
                <w:szCs w:val="20"/>
              </w:rPr>
              <w:t>Y</w:t>
            </w:r>
            <w:r w:rsidR="00746CF5" w:rsidRPr="00576CD2">
              <w:rPr>
                <w:sz w:val="20"/>
                <w:szCs w:val="20"/>
              </w:rPr>
              <w:t>es</w:t>
            </w:r>
          </w:p>
        </w:tc>
      </w:tr>
      <w:tr w:rsidR="00576CD2" w:rsidRPr="00576CD2" w14:paraId="398D3E52"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59EFC97B" w14:textId="7A9CA0A2" w:rsidR="00621536" w:rsidRPr="00576CD2" w:rsidRDefault="00621536" w:rsidP="00621536">
            <w:pPr>
              <w:ind w:left="344" w:hanging="285"/>
              <w:rPr>
                <w:sz w:val="20"/>
                <w:szCs w:val="20"/>
              </w:rPr>
            </w:pPr>
            <w:r w:rsidRPr="00576CD2">
              <w:rPr>
                <w:sz w:val="20"/>
                <w:szCs w:val="20"/>
              </w:rPr>
              <w:t>Post-implant thrombus formation; Other adverse event post-procedure resulting in death;</w:t>
            </w:r>
          </w:p>
        </w:tc>
        <w:tc>
          <w:tcPr>
            <w:tcW w:w="1039" w:type="pct"/>
            <w:tcBorders>
              <w:top w:val="single" w:sz="4" w:space="0" w:color="auto"/>
              <w:left w:val="single" w:sz="4" w:space="0" w:color="auto"/>
              <w:bottom w:val="single" w:sz="4" w:space="0" w:color="auto"/>
              <w:right w:val="single" w:sz="4" w:space="0" w:color="auto"/>
            </w:tcBorders>
            <w:vAlign w:val="center"/>
          </w:tcPr>
          <w:p w14:paraId="5F114E0C" w14:textId="5C8FEA31" w:rsidR="00621536" w:rsidRPr="00576CD2" w:rsidRDefault="00621536" w:rsidP="00A52261">
            <w:pPr>
              <w:jc w:val="center"/>
              <w:rPr>
                <w:sz w:val="20"/>
                <w:szCs w:val="20"/>
              </w:rPr>
            </w:pPr>
            <w:r w:rsidRPr="00576CD2">
              <w:rPr>
                <w:sz w:val="20"/>
                <w:szCs w:val="20"/>
              </w:rPr>
              <w:t xml:space="preserve">1 </w:t>
            </w:r>
          </w:p>
        </w:tc>
        <w:tc>
          <w:tcPr>
            <w:tcW w:w="808" w:type="pct"/>
            <w:tcBorders>
              <w:top w:val="single" w:sz="4" w:space="0" w:color="auto"/>
              <w:left w:val="single" w:sz="4" w:space="0" w:color="auto"/>
              <w:bottom w:val="single" w:sz="4" w:space="0" w:color="auto"/>
              <w:right w:val="single" w:sz="4" w:space="0" w:color="auto"/>
            </w:tcBorders>
            <w:vAlign w:val="center"/>
          </w:tcPr>
          <w:p w14:paraId="35EBFE72" w14:textId="13B6BBE0" w:rsidR="00621536" w:rsidRPr="00576CD2" w:rsidRDefault="007431BA" w:rsidP="00621536">
            <w:pPr>
              <w:jc w:val="center"/>
              <w:rPr>
                <w:sz w:val="20"/>
                <w:szCs w:val="20"/>
              </w:rPr>
            </w:pPr>
            <w:r w:rsidRPr="00576CD2">
              <w:rPr>
                <w:sz w:val="20"/>
                <w:szCs w:val="20"/>
              </w:rPr>
              <w:t>Y</w:t>
            </w:r>
            <w:r w:rsidR="00746CF5" w:rsidRPr="00576CD2">
              <w:rPr>
                <w:sz w:val="20"/>
                <w:szCs w:val="20"/>
              </w:rPr>
              <w:t>es</w:t>
            </w:r>
          </w:p>
        </w:tc>
      </w:tr>
      <w:tr w:rsidR="00576CD2" w:rsidRPr="00576CD2" w14:paraId="3A0C0B76"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F3C42" w14:textId="77777777" w:rsidR="007249F4" w:rsidRPr="00576CD2" w:rsidRDefault="007249F4" w:rsidP="007249F4">
            <w:pPr>
              <w:ind w:firstLine="75"/>
              <w:rPr>
                <w:b/>
                <w:sz w:val="20"/>
                <w:szCs w:val="20"/>
              </w:rPr>
            </w:pPr>
            <w:r w:rsidRPr="00576CD2">
              <w:rPr>
                <w:b/>
                <w:sz w:val="20"/>
                <w:szCs w:val="20"/>
              </w:rPr>
              <w:t>Delivery / Deployment Observations</w:t>
            </w:r>
          </w:p>
        </w:tc>
        <w:tc>
          <w:tcPr>
            <w:tcW w:w="10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379056" w14:textId="77777777" w:rsidR="007249F4" w:rsidRPr="00576CD2" w:rsidRDefault="007249F4" w:rsidP="007249F4">
            <w:pPr>
              <w:jc w:val="center"/>
              <w:rPr>
                <w:b/>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8FD59" w14:textId="77777777" w:rsidR="007249F4" w:rsidRPr="00576CD2" w:rsidRDefault="007249F4" w:rsidP="007249F4">
            <w:pPr>
              <w:jc w:val="center"/>
              <w:rPr>
                <w:b/>
                <w:sz w:val="20"/>
                <w:szCs w:val="20"/>
              </w:rPr>
            </w:pPr>
          </w:p>
        </w:tc>
      </w:tr>
      <w:tr w:rsidR="00576CD2" w:rsidRPr="00576CD2" w14:paraId="29983ED2"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5DBFA130" w14:textId="77777777" w:rsidR="001B5275" w:rsidRPr="00576CD2" w:rsidRDefault="001B5275">
            <w:pPr>
              <w:ind w:left="344" w:hanging="285"/>
              <w:rPr>
                <w:sz w:val="20"/>
                <w:szCs w:val="20"/>
                <w:highlight w:val="yellow"/>
              </w:rPr>
            </w:pPr>
            <w:r w:rsidRPr="00576CD2">
              <w:rPr>
                <w:sz w:val="20"/>
                <w:szCs w:val="20"/>
              </w:rPr>
              <w:t xml:space="preserve">Unable / difficult to advance the secondary sheath out of the primary sheath; Unable / difficult advancement with mechanical advantage; </w:t>
            </w:r>
            <w:r w:rsidRPr="00576CD2">
              <w:rPr>
                <w:rFonts w:eastAsia="Times New Roman"/>
                <w:sz w:val="20"/>
                <w:szCs w:val="20"/>
              </w:rPr>
              <w:t>Component detachment / malfunction / product damage</w:t>
            </w:r>
          </w:p>
        </w:tc>
        <w:tc>
          <w:tcPr>
            <w:tcW w:w="1039" w:type="pct"/>
            <w:tcBorders>
              <w:top w:val="single" w:sz="4" w:space="0" w:color="auto"/>
              <w:left w:val="single" w:sz="4" w:space="0" w:color="auto"/>
              <w:bottom w:val="single" w:sz="4" w:space="0" w:color="auto"/>
              <w:right w:val="single" w:sz="4" w:space="0" w:color="auto"/>
            </w:tcBorders>
            <w:vAlign w:val="center"/>
          </w:tcPr>
          <w:p w14:paraId="215F05EE" w14:textId="63E310C2" w:rsidR="001B5275" w:rsidRPr="00576CD2" w:rsidRDefault="001B5275" w:rsidP="00A52261">
            <w:pPr>
              <w:jc w:val="center"/>
              <w:rPr>
                <w:sz w:val="20"/>
                <w:szCs w:val="20"/>
              </w:rPr>
            </w:pPr>
            <w:r w:rsidRPr="00576CD2">
              <w:rPr>
                <w:sz w:val="20"/>
                <w:szCs w:val="20"/>
              </w:rPr>
              <w:t xml:space="preserve">5 </w:t>
            </w:r>
          </w:p>
        </w:tc>
        <w:tc>
          <w:tcPr>
            <w:tcW w:w="808" w:type="pct"/>
            <w:tcBorders>
              <w:top w:val="single" w:sz="4" w:space="0" w:color="auto"/>
              <w:left w:val="single" w:sz="4" w:space="0" w:color="auto"/>
              <w:bottom w:val="single" w:sz="4" w:space="0" w:color="auto"/>
              <w:right w:val="single" w:sz="4" w:space="0" w:color="auto"/>
            </w:tcBorders>
            <w:vAlign w:val="center"/>
          </w:tcPr>
          <w:p w14:paraId="416061E4" w14:textId="433443AB" w:rsidR="001B5275" w:rsidRPr="00576CD2" w:rsidRDefault="007431BA" w:rsidP="00A52261">
            <w:pPr>
              <w:jc w:val="center"/>
              <w:rPr>
                <w:sz w:val="20"/>
                <w:szCs w:val="20"/>
              </w:rPr>
            </w:pPr>
            <w:r w:rsidRPr="00576CD2">
              <w:rPr>
                <w:sz w:val="20"/>
                <w:szCs w:val="20"/>
              </w:rPr>
              <w:t>Y</w:t>
            </w:r>
            <w:r w:rsidR="00746CF5" w:rsidRPr="00576CD2">
              <w:rPr>
                <w:sz w:val="20"/>
                <w:szCs w:val="20"/>
              </w:rPr>
              <w:t>es</w:t>
            </w:r>
            <w:r w:rsidRPr="00576CD2">
              <w:rPr>
                <w:sz w:val="20"/>
                <w:szCs w:val="20"/>
              </w:rPr>
              <w:t xml:space="preserve"> (</w:t>
            </w:r>
            <w:r w:rsidR="001B5275" w:rsidRPr="00576CD2">
              <w:rPr>
                <w:sz w:val="20"/>
                <w:szCs w:val="20"/>
              </w:rPr>
              <w:t>4</w:t>
            </w:r>
            <w:r w:rsidRPr="00576CD2">
              <w:rPr>
                <w:sz w:val="20"/>
                <w:szCs w:val="20"/>
              </w:rPr>
              <w:t>)</w:t>
            </w:r>
          </w:p>
        </w:tc>
      </w:tr>
      <w:tr w:rsidR="00576CD2" w:rsidRPr="00576CD2" w14:paraId="00E15AD7"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7B207652" w14:textId="0A1ED91C" w:rsidR="007249F4" w:rsidRPr="00576CD2" w:rsidRDefault="00621536" w:rsidP="007249F4">
            <w:pPr>
              <w:ind w:left="344" w:hanging="285"/>
              <w:rPr>
                <w:rFonts w:eastAsia="Times New Roman"/>
                <w:sz w:val="20"/>
                <w:szCs w:val="20"/>
                <w:highlight w:val="yellow"/>
              </w:rPr>
            </w:pPr>
            <w:r w:rsidRPr="00576CD2">
              <w:rPr>
                <w:rFonts w:eastAsia="Times New Roman"/>
                <w:sz w:val="20"/>
                <w:szCs w:val="20"/>
              </w:rPr>
              <w:t>Unable / difficult to advance the device through entry vessel – device stuck in introducer sheath; Component detachment / malfunction / product damage</w:t>
            </w:r>
          </w:p>
        </w:tc>
        <w:tc>
          <w:tcPr>
            <w:tcW w:w="1039" w:type="pct"/>
            <w:tcBorders>
              <w:top w:val="single" w:sz="4" w:space="0" w:color="auto"/>
              <w:left w:val="single" w:sz="4" w:space="0" w:color="auto"/>
              <w:bottom w:val="single" w:sz="4" w:space="0" w:color="auto"/>
              <w:right w:val="single" w:sz="4" w:space="0" w:color="auto"/>
            </w:tcBorders>
            <w:vAlign w:val="center"/>
          </w:tcPr>
          <w:p w14:paraId="27681A6E" w14:textId="67D59744" w:rsidR="007249F4" w:rsidRPr="00576CD2" w:rsidRDefault="008454A6" w:rsidP="00A52261">
            <w:pPr>
              <w:jc w:val="center"/>
              <w:rPr>
                <w:sz w:val="20"/>
                <w:szCs w:val="20"/>
              </w:rPr>
            </w:pPr>
            <w:r w:rsidRPr="00576CD2">
              <w:rPr>
                <w:sz w:val="20"/>
                <w:szCs w:val="20"/>
              </w:rPr>
              <w:t xml:space="preserve">5 </w:t>
            </w:r>
          </w:p>
        </w:tc>
        <w:tc>
          <w:tcPr>
            <w:tcW w:w="808" w:type="pct"/>
            <w:tcBorders>
              <w:top w:val="single" w:sz="4" w:space="0" w:color="auto"/>
              <w:left w:val="single" w:sz="4" w:space="0" w:color="auto"/>
              <w:bottom w:val="single" w:sz="4" w:space="0" w:color="auto"/>
              <w:right w:val="single" w:sz="4" w:space="0" w:color="auto"/>
            </w:tcBorders>
            <w:vAlign w:val="center"/>
          </w:tcPr>
          <w:p w14:paraId="5FCAC480" w14:textId="6DDC0B6E" w:rsidR="007249F4" w:rsidRPr="00576CD2" w:rsidRDefault="007431BA" w:rsidP="00A52261">
            <w:pPr>
              <w:jc w:val="center"/>
              <w:rPr>
                <w:sz w:val="20"/>
                <w:szCs w:val="20"/>
              </w:rPr>
            </w:pPr>
            <w:r w:rsidRPr="00576CD2">
              <w:rPr>
                <w:sz w:val="20"/>
                <w:szCs w:val="20"/>
              </w:rPr>
              <w:t>Y</w:t>
            </w:r>
            <w:r w:rsidR="00746CF5" w:rsidRPr="00576CD2">
              <w:rPr>
                <w:sz w:val="20"/>
                <w:szCs w:val="20"/>
              </w:rPr>
              <w:t>es</w:t>
            </w:r>
            <w:r w:rsidRPr="00576CD2">
              <w:rPr>
                <w:sz w:val="20"/>
                <w:szCs w:val="20"/>
              </w:rPr>
              <w:t xml:space="preserve"> (</w:t>
            </w:r>
            <w:r w:rsidR="00621536" w:rsidRPr="00576CD2">
              <w:rPr>
                <w:sz w:val="20"/>
                <w:szCs w:val="20"/>
              </w:rPr>
              <w:t>3</w:t>
            </w:r>
            <w:r w:rsidRPr="00576CD2">
              <w:rPr>
                <w:sz w:val="20"/>
                <w:szCs w:val="20"/>
              </w:rPr>
              <w:t>)</w:t>
            </w:r>
            <w:r w:rsidR="00621536" w:rsidRPr="00576CD2">
              <w:rPr>
                <w:sz w:val="20"/>
                <w:szCs w:val="20"/>
              </w:rPr>
              <w:t xml:space="preserve"> </w:t>
            </w:r>
          </w:p>
        </w:tc>
      </w:tr>
      <w:tr w:rsidR="00576CD2" w:rsidRPr="00576CD2" w14:paraId="76181406"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5CC8A2EB" w14:textId="77777777" w:rsidR="001B5275" w:rsidRPr="00576CD2" w:rsidRDefault="001B5275">
            <w:pPr>
              <w:ind w:left="344" w:hanging="285"/>
              <w:rPr>
                <w:sz w:val="20"/>
                <w:szCs w:val="20"/>
              </w:rPr>
            </w:pPr>
            <w:r w:rsidRPr="00576CD2">
              <w:rPr>
                <w:sz w:val="20"/>
                <w:szCs w:val="20"/>
              </w:rPr>
              <w:t xml:space="preserve">Device Preparation Difficulty; </w:t>
            </w:r>
            <w:r w:rsidRPr="00576CD2">
              <w:rPr>
                <w:rFonts w:eastAsia="Times New Roman"/>
                <w:sz w:val="20"/>
                <w:szCs w:val="20"/>
              </w:rPr>
              <w:t>Component detachment / malfunction / product damage</w:t>
            </w:r>
          </w:p>
        </w:tc>
        <w:tc>
          <w:tcPr>
            <w:tcW w:w="1039" w:type="pct"/>
            <w:tcBorders>
              <w:top w:val="single" w:sz="4" w:space="0" w:color="auto"/>
              <w:left w:val="single" w:sz="4" w:space="0" w:color="auto"/>
              <w:bottom w:val="single" w:sz="4" w:space="0" w:color="auto"/>
              <w:right w:val="single" w:sz="4" w:space="0" w:color="auto"/>
            </w:tcBorders>
            <w:vAlign w:val="center"/>
          </w:tcPr>
          <w:p w14:paraId="79A49513" w14:textId="3D189BAF" w:rsidR="001B5275" w:rsidRPr="00576CD2" w:rsidRDefault="005654CD" w:rsidP="00A52261">
            <w:pPr>
              <w:jc w:val="center"/>
              <w:rPr>
                <w:sz w:val="20"/>
                <w:szCs w:val="20"/>
              </w:rPr>
            </w:pPr>
            <w:r w:rsidRPr="00576CD2">
              <w:rPr>
                <w:sz w:val="20"/>
                <w:szCs w:val="20"/>
              </w:rPr>
              <w:t>2</w:t>
            </w:r>
          </w:p>
        </w:tc>
        <w:tc>
          <w:tcPr>
            <w:tcW w:w="808" w:type="pct"/>
            <w:tcBorders>
              <w:top w:val="single" w:sz="4" w:space="0" w:color="auto"/>
              <w:left w:val="single" w:sz="4" w:space="0" w:color="auto"/>
              <w:bottom w:val="single" w:sz="4" w:space="0" w:color="auto"/>
              <w:right w:val="single" w:sz="4" w:space="0" w:color="auto"/>
            </w:tcBorders>
            <w:vAlign w:val="center"/>
          </w:tcPr>
          <w:p w14:paraId="39F7E4FA" w14:textId="41B5346A" w:rsidR="001B5275" w:rsidRPr="00576CD2" w:rsidRDefault="007431BA">
            <w:pPr>
              <w:jc w:val="center"/>
              <w:rPr>
                <w:sz w:val="20"/>
                <w:szCs w:val="20"/>
              </w:rPr>
            </w:pPr>
            <w:r w:rsidRPr="00576CD2">
              <w:rPr>
                <w:sz w:val="20"/>
                <w:szCs w:val="20"/>
              </w:rPr>
              <w:t>Y</w:t>
            </w:r>
            <w:r w:rsidR="00670B96" w:rsidRPr="00576CD2">
              <w:rPr>
                <w:sz w:val="20"/>
                <w:szCs w:val="20"/>
              </w:rPr>
              <w:t>es</w:t>
            </w:r>
          </w:p>
        </w:tc>
      </w:tr>
      <w:tr w:rsidR="00576CD2" w:rsidRPr="00576CD2" w14:paraId="0AA9738B"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32FC5DBE" w14:textId="5AD9BEDB" w:rsidR="007249F4" w:rsidRPr="00576CD2" w:rsidRDefault="00621536" w:rsidP="007249F4">
            <w:pPr>
              <w:ind w:left="344" w:hanging="285"/>
              <w:rPr>
                <w:sz w:val="20"/>
                <w:szCs w:val="20"/>
              </w:rPr>
            </w:pPr>
            <w:r w:rsidRPr="00576CD2">
              <w:rPr>
                <w:sz w:val="20"/>
                <w:szCs w:val="20"/>
              </w:rPr>
              <w:t>Difficult to release proximal stent</w:t>
            </w:r>
          </w:p>
        </w:tc>
        <w:tc>
          <w:tcPr>
            <w:tcW w:w="1039" w:type="pct"/>
            <w:tcBorders>
              <w:top w:val="single" w:sz="4" w:space="0" w:color="auto"/>
              <w:left w:val="single" w:sz="4" w:space="0" w:color="auto"/>
              <w:bottom w:val="single" w:sz="4" w:space="0" w:color="auto"/>
              <w:right w:val="single" w:sz="4" w:space="0" w:color="auto"/>
            </w:tcBorders>
            <w:vAlign w:val="center"/>
          </w:tcPr>
          <w:p w14:paraId="16A50AA2" w14:textId="6981C460" w:rsidR="007249F4" w:rsidRPr="00576CD2" w:rsidRDefault="00621536" w:rsidP="00A52261">
            <w:pPr>
              <w:jc w:val="center"/>
              <w:rPr>
                <w:sz w:val="20"/>
                <w:szCs w:val="20"/>
              </w:rPr>
            </w:pPr>
            <w:r w:rsidRPr="00576CD2">
              <w:rPr>
                <w:sz w:val="20"/>
                <w:szCs w:val="20"/>
              </w:rPr>
              <w:t xml:space="preserve">2 </w:t>
            </w:r>
          </w:p>
        </w:tc>
        <w:tc>
          <w:tcPr>
            <w:tcW w:w="808" w:type="pct"/>
            <w:tcBorders>
              <w:top w:val="single" w:sz="4" w:space="0" w:color="auto"/>
              <w:left w:val="single" w:sz="4" w:space="0" w:color="auto"/>
              <w:bottom w:val="single" w:sz="4" w:space="0" w:color="auto"/>
              <w:right w:val="single" w:sz="4" w:space="0" w:color="auto"/>
            </w:tcBorders>
            <w:vAlign w:val="center"/>
          </w:tcPr>
          <w:p w14:paraId="54959CB3" w14:textId="633370B1" w:rsidR="007249F4" w:rsidRPr="00576CD2" w:rsidRDefault="007431BA" w:rsidP="007249F4">
            <w:pPr>
              <w:jc w:val="center"/>
              <w:rPr>
                <w:sz w:val="20"/>
                <w:szCs w:val="20"/>
              </w:rPr>
            </w:pPr>
            <w:r w:rsidRPr="00576CD2">
              <w:rPr>
                <w:sz w:val="20"/>
                <w:szCs w:val="20"/>
              </w:rPr>
              <w:t>Y</w:t>
            </w:r>
            <w:r w:rsidR="00670B96" w:rsidRPr="00576CD2">
              <w:rPr>
                <w:sz w:val="20"/>
                <w:szCs w:val="20"/>
              </w:rPr>
              <w:t>es</w:t>
            </w:r>
          </w:p>
        </w:tc>
      </w:tr>
      <w:tr w:rsidR="00576CD2" w:rsidRPr="00576CD2" w14:paraId="47D46E46"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317BF31E" w14:textId="77777777" w:rsidR="001B5275" w:rsidRPr="00576CD2" w:rsidRDefault="001B5275">
            <w:pPr>
              <w:ind w:left="75"/>
              <w:rPr>
                <w:sz w:val="20"/>
                <w:szCs w:val="20"/>
              </w:rPr>
            </w:pPr>
            <w:r w:rsidRPr="00576CD2">
              <w:rPr>
                <w:sz w:val="20"/>
                <w:szCs w:val="20"/>
              </w:rPr>
              <w:t>Unable / difficult deployment with mechanical advantage</w:t>
            </w:r>
          </w:p>
        </w:tc>
        <w:tc>
          <w:tcPr>
            <w:tcW w:w="1039" w:type="pct"/>
            <w:tcBorders>
              <w:top w:val="single" w:sz="4" w:space="0" w:color="auto"/>
              <w:left w:val="single" w:sz="4" w:space="0" w:color="auto"/>
              <w:bottom w:val="single" w:sz="4" w:space="0" w:color="auto"/>
              <w:right w:val="single" w:sz="4" w:space="0" w:color="auto"/>
            </w:tcBorders>
            <w:vAlign w:val="center"/>
          </w:tcPr>
          <w:p w14:paraId="2B421E39" w14:textId="534B3DC7" w:rsidR="001B5275" w:rsidRPr="00576CD2" w:rsidRDefault="001B5275" w:rsidP="00A52261">
            <w:pPr>
              <w:jc w:val="center"/>
              <w:rPr>
                <w:sz w:val="20"/>
                <w:szCs w:val="20"/>
              </w:rPr>
            </w:pPr>
            <w:r w:rsidRPr="00576CD2">
              <w:rPr>
                <w:sz w:val="20"/>
                <w:szCs w:val="20"/>
              </w:rPr>
              <w:t xml:space="preserve">1 </w:t>
            </w:r>
          </w:p>
        </w:tc>
        <w:tc>
          <w:tcPr>
            <w:tcW w:w="808" w:type="pct"/>
            <w:tcBorders>
              <w:top w:val="single" w:sz="4" w:space="0" w:color="auto"/>
              <w:left w:val="single" w:sz="4" w:space="0" w:color="auto"/>
              <w:bottom w:val="single" w:sz="4" w:space="0" w:color="auto"/>
              <w:right w:val="single" w:sz="4" w:space="0" w:color="auto"/>
            </w:tcBorders>
            <w:vAlign w:val="center"/>
          </w:tcPr>
          <w:p w14:paraId="228E4AB3" w14:textId="013BDC42" w:rsidR="001B5275" w:rsidRPr="00576CD2" w:rsidRDefault="001B5275">
            <w:pPr>
              <w:jc w:val="center"/>
              <w:rPr>
                <w:sz w:val="20"/>
                <w:szCs w:val="20"/>
              </w:rPr>
            </w:pPr>
            <w:r w:rsidRPr="00576CD2">
              <w:rPr>
                <w:sz w:val="20"/>
                <w:szCs w:val="20"/>
              </w:rPr>
              <w:t>N</w:t>
            </w:r>
            <w:r w:rsidR="002B7FEA" w:rsidRPr="00576CD2">
              <w:rPr>
                <w:sz w:val="20"/>
                <w:szCs w:val="20"/>
              </w:rPr>
              <w:t>o</w:t>
            </w:r>
          </w:p>
        </w:tc>
      </w:tr>
      <w:tr w:rsidR="00576CD2" w:rsidRPr="00576CD2" w14:paraId="128D48A2" w14:textId="77777777" w:rsidTr="00504F13">
        <w:trPr>
          <w:trHeight w:val="233"/>
        </w:trPr>
        <w:tc>
          <w:tcPr>
            <w:tcW w:w="3153" w:type="pct"/>
            <w:tcBorders>
              <w:top w:val="single" w:sz="4" w:space="0" w:color="auto"/>
              <w:left w:val="single" w:sz="4" w:space="0" w:color="auto"/>
              <w:bottom w:val="single" w:sz="4" w:space="0" w:color="auto"/>
              <w:right w:val="single" w:sz="4" w:space="0" w:color="auto"/>
            </w:tcBorders>
            <w:vAlign w:val="center"/>
          </w:tcPr>
          <w:p w14:paraId="3344E252" w14:textId="19C429E8" w:rsidR="007249F4" w:rsidRPr="00576CD2" w:rsidRDefault="00621536" w:rsidP="007249F4">
            <w:pPr>
              <w:ind w:left="344" w:hanging="285"/>
              <w:rPr>
                <w:sz w:val="20"/>
                <w:szCs w:val="20"/>
              </w:rPr>
            </w:pPr>
            <w:r w:rsidRPr="00576CD2">
              <w:rPr>
                <w:sz w:val="20"/>
                <w:szCs w:val="20"/>
              </w:rPr>
              <w:t xml:space="preserve">Unable / difficult to advance device in the aorta; Unable / difficult to advance the secondary sheath to the treatment site; </w:t>
            </w:r>
          </w:p>
        </w:tc>
        <w:tc>
          <w:tcPr>
            <w:tcW w:w="1039" w:type="pct"/>
            <w:tcBorders>
              <w:top w:val="single" w:sz="4" w:space="0" w:color="auto"/>
              <w:left w:val="single" w:sz="4" w:space="0" w:color="auto"/>
              <w:bottom w:val="single" w:sz="4" w:space="0" w:color="auto"/>
              <w:right w:val="single" w:sz="4" w:space="0" w:color="auto"/>
            </w:tcBorders>
            <w:vAlign w:val="center"/>
          </w:tcPr>
          <w:p w14:paraId="74AB3E13" w14:textId="05E88368" w:rsidR="007249F4" w:rsidRPr="00576CD2" w:rsidRDefault="00621536" w:rsidP="00A52261">
            <w:pPr>
              <w:jc w:val="center"/>
              <w:rPr>
                <w:sz w:val="20"/>
                <w:szCs w:val="20"/>
              </w:rPr>
            </w:pPr>
            <w:r w:rsidRPr="00576CD2">
              <w:rPr>
                <w:sz w:val="20"/>
                <w:szCs w:val="20"/>
              </w:rPr>
              <w:t xml:space="preserve">1 </w:t>
            </w:r>
          </w:p>
        </w:tc>
        <w:tc>
          <w:tcPr>
            <w:tcW w:w="808" w:type="pct"/>
            <w:tcBorders>
              <w:top w:val="single" w:sz="4" w:space="0" w:color="auto"/>
              <w:left w:val="single" w:sz="4" w:space="0" w:color="auto"/>
              <w:bottom w:val="single" w:sz="4" w:space="0" w:color="auto"/>
              <w:right w:val="single" w:sz="4" w:space="0" w:color="auto"/>
            </w:tcBorders>
            <w:vAlign w:val="center"/>
          </w:tcPr>
          <w:p w14:paraId="68795A62" w14:textId="27E7C34B" w:rsidR="007249F4" w:rsidRPr="00576CD2" w:rsidRDefault="007431BA" w:rsidP="007249F4">
            <w:pPr>
              <w:jc w:val="center"/>
              <w:rPr>
                <w:sz w:val="20"/>
                <w:szCs w:val="20"/>
              </w:rPr>
            </w:pPr>
            <w:r w:rsidRPr="00576CD2">
              <w:rPr>
                <w:sz w:val="20"/>
                <w:szCs w:val="20"/>
              </w:rPr>
              <w:t>Y</w:t>
            </w:r>
            <w:r w:rsidR="00670B96" w:rsidRPr="00576CD2">
              <w:rPr>
                <w:sz w:val="20"/>
                <w:szCs w:val="20"/>
              </w:rPr>
              <w:t>es</w:t>
            </w:r>
          </w:p>
        </w:tc>
      </w:tr>
      <w:tr w:rsidR="00576CD2" w:rsidRPr="00576CD2" w14:paraId="65C05DE5"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512818F6" w14:textId="118EB9A1" w:rsidR="007249F4" w:rsidRPr="00576CD2" w:rsidRDefault="00621536" w:rsidP="007249F4">
            <w:pPr>
              <w:ind w:left="344" w:hanging="285"/>
              <w:rPr>
                <w:sz w:val="20"/>
                <w:szCs w:val="20"/>
              </w:rPr>
            </w:pPr>
            <w:r w:rsidRPr="00576CD2">
              <w:rPr>
                <w:sz w:val="20"/>
                <w:szCs w:val="20"/>
              </w:rPr>
              <w:t>Unable to reset the tip in position #4; Unable / difficult advancement with mechanical advantage; Component detachment</w:t>
            </w:r>
          </w:p>
        </w:tc>
        <w:tc>
          <w:tcPr>
            <w:tcW w:w="1039" w:type="pct"/>
            <w:tcBorders>
              <w:top w:val="single" w:sz="4" w:space="0" w:color="auto"/>
              <w:left w:val="single" w:sz="4" w:space="0" w:color="auto"/>
              <w:bottom w:val="single" w:sz="4" w:space="0" w:color="auto"/>
              <w:right w:val="single" w:sz="4" w:space="0" w:color="auto"/>
            </w:tcBorders>
            <w:vAlign w:val="center"/>
          </w:tcPr>
          <w:p w14:paraId="0A52725B" w14:textId="26FC5897" w:rsidR="007249F4" w:rsidRPr="00576CD2" w:rsidRDefault="00621536" w:rsidP="00A52261">
            <w:pPr>
              <w:jc w:val="center"/>
              <w:rPr>
                <w:sz w:val="20"/>
                <w:szCs w:val="20"/>
              </w:rPr>
            </w:pPr>
            <w:r w:rsidRPr="00576CD2">
              <w:rPr>
                <w:sz w:val="20"/>
                <w:szCs w:val="20"/>
              </w:rPr>
              <w:t>1</w:t>
            </w:r>
          </w:p>
        </w:tc>
        <w:tc>
          <w:tcPr>
            <w:tcW w:w="808" w:type="pct"/>
            <w:tcBorders>
              <w:top w:val="single" w:sz="4" w:space="0" w:color="auto"/>
              <w:left w:val="single" w:sz="4" w:space="0" w:color="auto"/>
              <w:bottom w:val="single" w:sz="4" w:space="0" w:color="auto"/>
              <w:right w:val="single" w:sz="4" w:space="0" w:color="auto"/>
            </w:tcBorders>
            <w:vAlign w:val="center"/>
          </w:tcPr>
          <w:p w14:paraId="17F9D07F" w14:textId="1A4A9131" w:rsidR="007249F4" w:rsidRPr="00576CD2" w:rsidRDefault="007431BA" w:rsidP="007249F4">
            <w:pPr>
              <w:jc w:val="center"/>
              <w:rPr>
                <w:sz w:val="20"/>
                <w:szCs w:val="20"/>
              </w:rPr>
            </w:pPr>
            <w:r w:rsidRPr="00576CD2">
              <w:rPr>
                <w:sz w:val="20"/>
                <w:szCs w:val="20"/>
              </w:rPr>
              <w:t>Y</w:t>
            </w:r>
            <w:r w:rsidR="00670B96" w:rsidRPr="00576CD2">
              <w:rPr>
                <w:sz w:val="20"/>
                <w:szCs w:val="20"/>
              </w:rPr>
              <w:t>es</w:t>
            </w:r>
          </w:p>
        </w:tc>
      </w:tr>
      <w:tr w:rsidR="00576CD2" w:rsidRPr="00576CD2" w14:paraId="30E6D0D6"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70687" w14:textId="77777777" w:rsidR="007249F4" w:rsidRPr="00576CD2" w:rsidRDefault="007249F4" w:rsidP="007249F4">
            <w:pPr>
              <w:ind w:left="344" w:hanging="285"/>
              <w:rPr>
                <w:sz w:val="20"/>
                <w:szCs w:val="20"/>
              </w:rPr>
            </w:pPr>
            <w:r w:rsidRPr="00576CD2">
              <w:rPr>
                <w:b/>
                <w:sz w:val="20"/>
                <w:szCs w:val="20"/>
              </w:rPr>
              <w:t>Packaging / Manufacturing Observations</w:t>
            </w:r>
          </w:p>
        </w:tc>
        <w:tc>
          <w:tcPr>
            <w:tcW w:w="10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22045" w14:textId="77777777" w:rsidR="007249F4" w:rsidRPr="00576CD2" w:rsidRDefault="007249F4" w:rsidP="007249F4">
            <w:pPr>
              <w:jc w:val="center"/>
              <w:rPr>
                <w:sz w:val="18"/>
                <w:szCs w:val="18"/>
              </w:rPr>
            </w:pPr>
          </w:p>
        </w:tc>
        <w:tc>
          <w:tcPr>
            <w:tcW w:w="8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CA587" w14:textId="77777777" w:rsidR="007249F4" w:rsidRPr="00576CD2" w:rsidRDefault="007249F4" w:rsidP="007249F4">
            <w:pPr>
              <w:jc w:val="center"/>
              <w:rPr>
                <w:sz w:val="20"/>
                <w:szCs w:val="20"/>
              </w:rPr>
            </w:pPr>
          </w:p>
        </w:tc>
      </w:tr>
      <w:tr w:rsidR="007249F4" w:rsidRPr="00576CD2" w14:paraId="08BA68F6" w14:textId="77777777" w:rsidTr="00504F13">
        <w:trPr>
          <w:trHeight w:val="20"/>
        </w:trPr>
        <w:tc>
          <w:tcPr>
            <w:tcW w:w="3153" w:type="pct"/>
            <w:tcBorders>
              <w:top w:val="single" w:sz="4" w:space="0" w:color="auto"/>
              <w:left w:val="single" w:sz="4" w:space="0" w:color="auto"/>
              <w:bottom w:val="single" w:sz="4" w:space="0" w:color="auto"/>
              <w:right w:val="single" w:sz="4" w:space="0" w:color="auto"/>
            </w:tcBorders>
            <w:vAlign w:val="center"/>
          </w:tcPr>
          <w:p w14:paraId="21E65C57" w14:textId="0E993E57" w:rsidR="007249F4" w:rsidRPr="00576CD2" w:rsidRDefault="00621536" w:rsidP="007249F4">
            <w:pPr>
              <w:ind w:left="344" w:hanging="285"/>
              <w:rPr>
                <w:sz w:val="20"/>
                <w:szCs w:val="20"/>
              </w:rPr>
            </w:pPr>
            <w:r w:rsidRPr="00576CD2">
              <w:rPr>
                <w:sz w:val="20"/>
                <w:szCs w:val="20"/>
              </w:rPr>
              <w:t>Delivery System component detachment / malfunction / product damage / packaging damaged</w:t>
            </w:r>
          </w:p>
        </w:tc>
        <w:tc>
          <w:tcPr>
            <w:tcW w:w="1039" w:type="pct"/>
            <w:tcBorders>
              <w:top w:val="single" w:sz="4" w:space="0" w:color="auto"/>
              <w:left w:val="single" w:sz="4" w:space="0" w:color="auto"/>
              <w:bottom w:val="single" w:sz="4" w:space="0" w:color="auto"/>
              <w:right w:val="single" w:sz="4" w:space="0" w:color="auto"/>
            </w:tcBorders>
            <w:vAlign w:val="center"/>
          </w:tcPr>
          <w:p w14:paraId="1D712ABB" w14:textId="079CBC09" w:rsidR="007249F4" w:rsidRPr="00576CD2" w:rsidRDefault="00A52261" w:rsidP="002B7FEA">
            <w:pPr>
              <w:jc w:val="center"/>
              <w:rPr>
                <w:sz w:val="20"/>
                <w:szCs w:val="20"/>
              </w:rPr>
            </w:pPr>
            <w:r w:rsidRPr="00576CD2">
              <w:rPr>
                <w:sz w:val="20"/>
                <w:szCs w:val="20"/>
              </w:rPr>
              <w:t>8</w:t>
            </w:r>
          </w:p>
        </w:tc>
        <w:tc>
          <w:tcPr>
            <w:tcW w:w="808" w:type="pct"/>
            <w:tcBorders>
              <w:top w:val="single" w:sz="4" w:space="0" w:color="auto"/>
              <w:left w:val="single" w:sz="4" w:space="0" w:color="auto"/>
              <w:bottom w:val="single" w:sz="4" w:space="0" w:color="auto"/>
              <w:right w:val="single" w:sz="4" w:space="0" w:color="auto"/>
            </w:tcBorders>
            <w:vAlign w:val="center"/>
          </w:tcPr>
          <w:p w14:paraId="19811975" w14:textId="5EF19548" w:rsidR="007249F4" w:rsidRPr="00576CD2" w:rsidRDefault="007431BA" w:rsidP="002B7FEA">
            <w:pPr>
              <w:jc w:val="center"/>
              <w:rPr>
                <w:sz w:val="20"/>
                <w:szCs w:val="20"/>
              </w:rPr>
            </w:pPr>
            <w:r w:rsidRPr="00576CD2">
              <w:rPr>
                <w:sz w:val="20"/>
                <w:szCs w:val="20"/>
              </w:rPr>
              <w:t>Y</w:t>
            </w:r>
            <w:r w:rsidR="00670B96" w:rsidRPr="00576CD2">
              <w:rPr>
                <w:sz w:val="20"/>
                <w:szCs w:val="20"/>
              </w:rPr>
              <w:t>es</w:t>
            </w:r>
            <w:r w:rsidRPr="00576CD2">
              <w:rPr>
                <w:sz w:val="20"/>
                <w:szCs w:val="20"/>
              </w:rPr>
              <w:t xml:space="preserve"> (</w:t>
            </w:r>
            <w:r w:rsidR="00621536" w:rsidRPr="00576CD2">
              <w:rPr>
                <w:sz w:val="20"/>
                <w:szCs w:val="20"/>
              </w:rPr>
              <w:t>1</w:t>
            </w:r>
            <w:r w:rsidRPr="00576CD2">
              <w:rPr>
                <w:sz w:val="20"/>
                <w:szCs w:val="20"/>
              </w:rPr>
              <w:t>)</w:t>
            </w:r>
            <w:r w:rsidR="00621536" w:rsidRPr="00576CD2">
              <w:rPr>
                <w:sz w:val="20"/>
                <w:szCs w:val="20"/>
              </w:rPr>
              <w:t xml:space="preserve"> </w:t>
            </w:r>
          </w:p>
        </w:tc>
      </w:tr>
    </w:tbl>
    <w:p w14:paraId="6777BB9F" w14:textId="62E778F5" w:rsidR="002D5003" w:rsidRPr="00576CD2" w:rsidRDefault="002D5003" w:rsidP="005A3849">
      <w:pPr>
        <w:spacing w:after="0"/>
        <w:rPr>
          <w:rFonts w:cstheme="minorHAnsi"/>
        </w:rPr>
      </w:pPr>
    </w:p>
    <w:p w14:paraId="6D805651" w14:textId="00BE70EA" w:rsidR="00C94225" w:rsidRPr="00576CD2" w:rsidRDefault="00C94225" w:rsidP="00054957">
      <w:pPr>
        <w:pStyle w:val="Normal-2"/>
        <w:spacing w:line="240" w:lineRule="auto"/>
        <w:ind w:left="720"/>
        <w:rPr>
          <w:rFonts w:cstheme="minorHAnsi"/>
        </w:rPr>
      </w:pPr>
      <w:r w:rsidRPr="00576CD2">
        <w:rPr>
          <w:rFonts w:cstheme="minorHAnsi"/>
        </w:rPr>
        <w:t xml:space="preserve">The reported complaints did show an increase after US commercialization of RelayPro began in September 2021. This is not unexpected with the start of commercialization in a region and was accompanied by the corresponding increase in sales volume. </w:t>
      </w:r>
    </w:p>
    <w:p w14:paraId="1CDFE0F7" w14:textId="0252A543" w:rsidR="00C94225" w:rsidRPr="00576CD2" w:rsidRDefault="00C94225" w:rsidP="00054957">
      <w:pPr>
        <w:pStyle w:val="Normal-2"/>
        <w:spacing w:line="240" w:lineRule="auto"/>
        <w:ind w:left="720"/>
        <w:rPr>
          <w:rFonts w:cstheme="minorHAnsi"/>
        </w:rPr>
      </w:pPr>
      <w:r w:rsidRPr="00576CD2">
        <w:rPr>
          <w:rFonts w:cstheme="minorHAnsi"/>
        </w:rPr>
        <w:lastRenderedPageBreak/>
        <w:t>The most prevalent Clinical Observation is Endoleaks. Terumo Aortic thoroughly reviews and investigates all complaints using the data and information provided.  It is standard practice to request pre-case planning worksheets and measurements, CT scans, operative reports, fluoroscopy and any imaging that can assist the team in evaluating the complaint, but based on the level of data provided, it can be challenging to confirm the endoleak reported and determine causation. Endoleaks of all types are among the expected adverse events associated with TEVAR. For the Delivery / Deployment Observations, there was an increase in issues related to device preparation and loss of hemostasis (flushing of the device prior to use). Several were the result of manufacturing-related causes. These were addressed with the production personnel to mitigate future occurrences. In addition, there have been reports of difficulty advancing the inner sheath from the outer sheath. These were attributed to various causes such as patient vessel tortuosity and issues with use of the mechanical advantage of the delivery system. There was an increase in 2021 for difficultly in releasing the proximal stent. It is worth noting that Terumo Aortic implemented a design optimization of the NBS clasping mechanism in July 2021 that was intended to reduce the release force and enhance the user experience when deploying the device. For the Packaging Observations, these were various reports of component/delivery system damage detected prior to device use with no reported serious consequence to the patient.</w:t>
      </w:r>
    </w:p>
    <w:p w14:paraId="53C62CEF" w14:textId="4DF9B127" w:rsidR="00C94225" w:rsidRPr="00576CD2" w:rsidRDefault="000A0956" w:rsidP="00504F13">
      <w:pPr>
        <w:pStyle w:val="Normal-2"/>
        <w:spacing w:after="0" w:line="240" w:lineRule="auto"/>
        <w:ind w:left="720"/>
        <w:rPr>
          <w:rFonts w:cstheme="minorHAnsi"/>
        </w:rPr>
      </w:pPr>
      <w:r w:rsidRPr="00576CD2">
        <w:rPr>
          <w:rFonts w:cstheme="minorHAnsi"/>
        </w:rPr>
        <w:t xml:space="preserve">The complaints reported </w:t>
      </w:r>
      <w:r w:rsidR="00642FBE" w:rsidRPr="00576CD2">
        <w:rPr>
          <w:rFonts w:cstheme="minorHAnsi"/>
        </w:rPr>
        <w:t>have increased compared to those reported within the</w:t>
      </w:r>
      <w:r w:rsidR="00347A4A" w:rsidRPr="00576CD2">
        <w:rPr>
          <w:rFonts w:cstheme="minorHAnsi"/>
        </w:rPr>
        <w:t xml:space="preserve"> RelayPro Aneurysm</w:t>
      </w:r>
      <w:r w:rsidR="00642FBE" w:rsidRPr="00576CD2">
        <w:rPr>
          <w:rFonts w:cstheme="minorHAnsi"/>
        </w:rPr>
        <w:t xml:space="preserve"> IDE study. However,</w:t>
      </w:r>
      <w:r w:rsidR="009F0050" w:rsidRPr="00576CD2">
        <w:rPr>
          <w:rFonts w:cstheme="minorHAnsi"/>
        </w:rPr>
        <w:t xml:space="preserve"> </w:t>
      </w:r>
      <w:r w:rsidR="00C94225" w:rsidRPr="00576CD2">
        <w:rPr>
          <w:rFonts w:cstheme="minorHAnsi"/>
        </w:rPr>
        <w:t>the occurrence levels are still within the values estimated by Terumo Aortic and all complaints are assessed within the risk management system. Terumo Aortic continues its diligence in monitoring and investigating product complaints and take necessary actions, as needed and concludes that the benefits of using the RelayPro Thoracic Stent-Graft system continue to outweigh the associated risks.</w:t>
      </w:r>
    </w:p>
    <w:p w14:paraId="439D7B75" w14:textId="77777777" w:rsidR="00C94225" w:rsidRPr="00576CD2" w:rsidRDefault="00C94225" w:rsidP="00054957">
      <w:pPr>
        <w:spacing w:after="0" w:line="240" w:lineRule="auto"/>
        <w:ind w:left="760" w:right="40"/>
        <w:jc w:val="both"/>
        <w:rPr>
          <w:rFonts w:eastAsia="Calibri" w:cstheme="minorHAnsi"/>
        </w:rPr>
      </w:pPr>
    </w:p>
    <w:p w14:paraId="35E6BF55" w14:textId="69138E7C" w:rsidR="001945F3" w:rsidRPr="00576CD2" w:rsidRDefault="001945F3" w:rsidP="006772C9">
      <w:pPr>
        <w:pStyle w:val="ListParagraph"/>
        <w:numPr>
          <w:ilvl w:val="0"/>
          <w:numId w:val="4"/>
        </w:numPr>
        <w:spacing w:line="240" w:lineRule="auto"/>
        <w:contextualSpacing w:val="0"/>
        <w:jc w:val="both"/>
        <w:rPr>
          <w:rFonts w:cstheme="minorHAnsi"/>
          <w:i/>
          <w:iCs/>
        </w:rPr>
      </w:pPr>
      <w:r w:rsidRPr="00576CD2">
        <w:rPr>
          <w:rFonts w:cstheme="minorHAnsi"/>
          <w:iCs/>
          <w:u w:val="single"/>
        </w:rPr>
        <w:t>Explant Analysis:</w:t>
      </w:r>
      <w:r w:rsidRPr="00576CD2">
        <w:rPr>
          <w:rFonts w:cstheme="minorHAnsi"/>
          <w:iCs/>
        </w:rPr>
        <w:t xml:space="preserve"> </w:t>
      </w:r>
    </w:p>
    <w:p w14:paraId="6D056978" w14:textId="0481356D" w:rsidR="007163EB" w:rsidRPr="00576CD2" w:rsidRDefault="6DFC9F5F" w:rsidP="1D87B22B">
      <w:pPr>
        <w:pStyle w:val="ListParagraph"/>
        <w:spacing w:line="240" w:lineRule="auto"/>
        <w:jc w:val="both"/>
      </w:pPr>
      <w:r w:rsidRPr="00576CD2">
        <w:t xml:space="preserve">Through the course of the investigational phase and following commercialization, there have been no </w:t>
      </w:r>
      <w:r w:rsidR="00E25DE8" w:rsidRPr="00576CD2">
        <w:t xml:space="preserve">reported </w:t>
      </w:r>
      <w:r w:rsidRPr="00576CD2">
        <w:t>explants</w:t>
      </w:r>
      <w:r w:rsidR="00012BC3" w:rsidRPr="00576CD2">
        <w:t xml:space="preserve"> of the RelayPro used to treat thoracic </w:t>
      </w:r>
      <w:r w:rsidR="008831B2" w:rsidRPr="00576CD2">
        <w:t xml:space="preserve">aortic </w:t>
      </w:r>
      <w:r w:rsidR="00012BC3" w:rsidRPr="00576CD2">
        <w:t>aneurysms</w:t>
      </w:r>
      <w:r w:rsidRPr="00576CD2">
        <w:t>.</w:t>
      </w:r>
    </w:p>
    <w:p w14:paraId="1AFC4C78" w14:textId="77777777" w:rsidR="004C1C92" w:rsidRPr="00576CD2" w:rsidRDefault="004C1C92" w:rsidP="1D87B22B">
      <w:pPr>
        <w:pStyle w:val="ListParagraph"/>
        <w:spacing w:line="240" w:lineRule="auto"/>
        <w:jc w:val="both"/>
      </w:pPr>
    </w:p>
    <w:p w14:paraId="0ACE92BC" w14:textId="21BFB81D" w:rsidR="00AD5033" w:rsidRPr="00576CD2" w:rsidRDefault="00AD5033" w:rsidP="006772C9">
      <w:pPr>
        <w:pStyle w:val="ListParagraph"/>
        <w:numPr>
          <w:ilvl w:val="0"/>
          <w:numId w:val="4"/>
        </w:numPr>
        <w:spacing w:line="240" w:lineRule="auto"/>
        <w:contextualSpacing w:val="0"/>
        <w:jc w:val="both"/>
        <w:rPr>
          <w:rFonts w:cstheme="minorHAnsi"/>
          <w:i/>
          <w:iCs/>
        </w:rPr>
      </w:pPr>
      <w:r w:rsidRPr="00576CD2">
        <w:rPr>
          <w:rFonts w:cstheme="minorHAnsi"/>
          <w:iCs/>
          <w:u w:val="single"/>
        </w:rPr>
        <w:t>Literature Review</w:t>
      </w:r>
      <w:r w:rsidR="00E13D21" w:rsidRPr="00576CD2">
        <w:rPr>
          <w:rFonts w:cstheme="minorHAnsi"/>
          <w:iCs/>
        </w:rPr>
        <w:t xml:space="preserve">: </w:t>
      </w:r>
    </w:p>
    <w:p w14:paraId="02DC019B" w14:textId="3D12A755" w:rsidR="002675A4" w:rsidRPr="00576CD2" w:rsidRDefault="001F44A3" w:rsidP="006772C9">
      <w:pPr>
        <w:pStyle w:val="ListParagraph"/>
        <w:spacing w:line="240" w:lineRule="auto"/>
        <w:contextualSpacing w:val="0"/>
        <w:jc w:val="both"/>
        <w:rPr>
          <w:rFonts w:cstheme="minorHAnsi"/>
        </w:rPr>
      </w:pPr>
      <w:r w:rsidRPr="00576CD2">
        <w:rPr>
          <w:rFonts w:cstheme="minorHAnsi"/>
        </w:rPr>
        <w:t>There ha</w:t>
      </w:r>
      <w:r w:rsidR="004571C4" w:rsidRPr="00576CD2">
        <w:rPr>
          <w:rFonts w:cstheme="minorHAnsi"/>
        </w:rPr>
        <w:t>s</w:t>
      </w:r>
      <w:r w:rsidRPr="00576CD2">
        <w:rPr>
          <w:rFonts w:cstheme="minorHAnsi"/>
        </w:rPr>
        <w:t xml:space="preserve"> been </w:t>
      </w:r>
      <w:r w:rsidR="004571C4" w:rsidRPr="00576CD2">
        <w:rPr>
          <w:rFonts w:cstheme="minorHAnsi"/>
        </w:rPr>
        <w:t>one</w:t>
      </w:r>
      <w:r w:rsidRPr="00576CD2">
        <w:rPr>
          <w:rFonts w:cstheme="minorHAnsi"/>
        </w:rPr>
        <w:t xml:space="preserve"> publication with information on the </w:t>
      </w:r>
      <w:r w:rsidR="00ED46B5" w:rsidRPr="00576CD2">
        <w:rPr>
          <w:rFonts w:cstheme="minorHAnsi"/>
        </w:rPr>
        <w:t>RelayPro Thoracic</w:t>
      </w:r>
      <w:r w:rsidRPr="00576CD2">
        <w:rPr>
          <w:rFonts w:cstheme="minorHAnsi"/>
        </w:rPr>
        <w:t xml:space="preserve"> Stent-Graft System since </w:t>
      </w:r>
      <w:r w:rsidR="00ED46B5" w:rsidRPr="00576CD2">
        <w:rPr>
          <w:rFonts w:cstheme="minorHAnsi"/>
        </w:rPr>
        <w:t>PMA approval August 5, 2021</w:t>
      </w:r>
      <w:r w:rsidR="00FB193B" w:rsidRPr="00576CD2">
        <w:rPr>
          <w:rFonts w:cstheme="minorHAnsi"/>
        </w:rPr>
        <w:t>.</w:t>
      </w:r>
      <w:r w:rsidR="00680865" w:rsidRPr="00576CD2">
        <w:rPr>
          <w:rFonts w:cstheme="minorHAnsi"/>
        </w:rPr>
        <w:t xml:space="preserve"> A second publication related to </w:t>
      </w:r>
      <w:r w:rsidR="005F1AC2" w:rsidRPr="00576CD2">
        <w:rPr>
          <w:rFonts w:cstheme="minorHAnsi"/>
        </w:rPr>
        <w:t>Compassionate Use of a modified RelayPro-based device is also presented</w:t>
      </w:r>
      <w:r w:rsidR="00912AC9" w:rsidRPr="00576CD2">
        <w:rPr>
          <w:rFonts w:cstheme="minorHAnsi"/>
        </w:rPr>
        <w:t xml:space="preserve"> for informational purposes.</w:t>
      </w:r>
    </w:p>
    <w:tbl>
      <w:tblPr>
        <w:tblStyle w:val="TableGrid"/>
        <w:tblW w:w="9360" w:type="dxa"/>
        <w:tblInd w:w="85" w:type="dxa"/>
        <w:tblLayout w:type="fixed"/>
        <w:tblLook w:val="04A0" w:firstRow="1" w:lastRow="0" w:firstColumn="1" w:lastColumn="0" w:noHBand="0" w:noVBand="1"/>
      </w:tblPr>
      <w:tblGrid>
        <w:gridCol w:w="450"/>
        <w:gridCol w:w="3060"/>
        <w:gridCol w:w="5850"/>
      </w:tblGrid>
      <w:tr w:rsidR="00576CD2" w:rsidRPr="00576CD2" w14:paraId="3CA16EFA" w14:textId="77777777">
        <w:trPr>
          <w:tblHeader/>
        </w:trPr>
        <w:tc>
          <w:tcPr>
            <w:tcW w:w="9360" w:type="dxa"/>
            <w:gridSpan w:val="3"/>
            <w:shd w:val="clear" w:color="auto" w:fill="D9D9D9" w:themeFill="background1" w:themeFillShade="D9"/>
          </w:tcPr>
          <w:p w14:paraId="69F37A23" w14:textId="254D3931" w:rsidR="00AF31F7" w:rsidRPr="00576CD2" w:rsidRDefault="00AF31F7" w:rsidP="006772C9">
            <w:pPr>
              <w:pStyle w:val="ListParagraph"/>
              <w:ind w:left="0"/>
              <w:contextualSpacing w:val="0"/>
              <w:jc w:val="both"/>
              <w:rPr>
                <w:rFonts w:eastAsia="Calibri" w:cstheme="minorHAnsi"/>
                <w:b/>
                <w:spacing w:val="1"/>
                <w:sz w:val="18"/>
                <w:szCs w:val="18"/>
              </w:rPr>
            </w:pPr>
            <w:r w:rsidRPr="00576CD2">
              <w:rPr>
                <w:b/>
                <w:bCs/>
                <w:sz w:val="20"/>
                <w:szCs w:val="20"/>
              </w:rPr>
              <w:t xml:space="preserve">Table </w:t>
            </w:r>
            <w:r w:rsidRPr="00576CD2">
              <w:rPr>
                <w:b/>
                <w:bCs/>
                <w:sz w:val="20"/>
                <w:szCs w:val="20"/>
              </w:rPr>
              <w:fldChar w:fldCharType="begin"/>
            </w:r>
            <w:r w:rsidRPr="00576CD2">
              <w:rPr>
                <w:b/>
                <w:bCs/>
                <w:sz w:val="20"/>
                <w:szCs w:val="20"/>
              </w:rPr>
              <w:instrText xml:space="preserve"> SEQ Table \* ARABIC </w:instrText>
            </w:r>
            <w:r w:rsidRPr="00576CD2">
              <w:rPr>
                <w:b/>
                <w:bCs/>
                <w:sz w:val="20"/>
                <w:szCs w:val="20"/>
              </w:rPr>
              <w:fldChar w:fldCharType="separate"/>
            </w:r>
            <w:r w:rsidR="007A0BFD">
              <w:rPr>
                <w:b/>
                <w:bCs/>
                <w:noProof/>
                <w:sz w:val="20"/>
                <w:szCs w:val="20"/>
              </w:rPr>
              <w:t>5</w:t>
            </w:r>
            <w:r w:rsidRPr="00576CD2">
              <w:rPr>
                <w:b/>
                <w:bCs/>
                <w:sz w:val="20"/>
                <w:szCs w:val="20"/>
              </w:rPr>
              <w:fldChar w:fldCharType="end"/>
            </w:r>
            <w:r w:rsidRPr="00576CD2">
              <w:rPr>
                <w:rFonts w:eastAsia="Calibri" w:cstheme="minorHAnsi"/>
                <w:b/>
                <w:spacing w:val="1"/>
                <w:sz w:val="18"/>
                <w:szCs w:val="18"/>
              </w:rPr>
              <w:t>: RelayPro Publications</w:t>
            </w:r>
          </w:p>
        </w:tc>
      </w:tr>
      <w:tr w:rsidR="00576CD2" w:rsidRPr="00576CD2" w14:paraId="18923E06" w14:textId="77777777" w:rsidTr="005A3BEE">
        <w:trPr>
          <w:tblHeader/>
        </w:trPr>
        <w:tc>
          <w:tcPr>
            <w:tcW w:w="450" w:type="dxa"/>
            <w:shd w:val="clear" w:color="auto" w:fill="D9D9D9" w:themeFill="background1" w:themeFillShade="D9"/>
          </w:tcPr>
          <w:p w14:paraId="2B15B6B1" w14:textId="77777777" w:rsidR="00966AEB" w:rsidRPr="00576CD2" w:rsidRDefault="00966AEB" w:rsidP="006772C9">
            <w:pPr>
              <w:pStyle w:val="ListParagraph"/>
              <w:ind w:left="0"/>
              <w:contextualSpacing w:val="0"/>
              <w:jc w:val="both"/>
              <w:rPr>
                <w:rFonts w:eastAsia="Calibri" w:cstheme="minorHAnsi"/>
                <w:spacing w:val="1"/>
                <w:sz w:val="18"/>
                <w:szCs w:val="18"/>
              </w:rPr>
            </w:pPr>
          </w:p>
        </w:tc>
        <w:tc>
          <w:tcPr>
            <w:tcW w:w="3060" w:type="dxa"/>
            <w:shd w:val="clear" w:color="auto" w:fill="D9D9D9" w:themeFill="background1" w:themeFillShade="D9"/>
          </w:tcPr>
          <w:p w14:paraId="7B0E5B5F" w14:textId="46D80F6B" w:rsidR="00966AEB" w:rsidRPr="00576CD2" w:rsidRDefault="002C1DE5" w:rsidP="006772C9">
            <w:pPr>
              <w:pStyle w:val="ListParagraph"/>
              <w:ind w:left="0"/>
              <w:contextualSpacing w:val="0"/>
              <w:jc w:val="both"/>
              <w:rPr>
                <w:rFonts w:eastAsia="Calibri" w:cstheme="minorHAnsi"/>
                <w:b/>
                <w:spacing w:val="1"/>
                <w:sz w:val="18"/>
                <w:szCs w:val="18"/>
              </w:rPr>
            </w:pPr>
            <w:r w:rsidRPr="00576CD2">
              <w:rPr>
                <w:rFonts w:eastAsia="Calibri" w:cstheme="minorHAnsi"/>
                <w:b/>
                <w:spacing w:val="1"/>
                <w:sz w:val="18"/>
                <w:szCs w:val="18"/>
              </w:rPr>
              <w:t>Article Citation</w:t>
            </w:r>
          </w:p>
        </w:tc>
        <w:tc>
          <w:tcPr>
            <w:tcW w:w="5850" w:type="dxa"/>
            <w:shd w:val="clear" w:color="auto" w:fill="D9D9D9" w:themeFill="background1" w:themeFillShade="D9"/>
          </w:tcPr>
          <w:p w14:paraId="70D438C1" w14:textId="4919B885" w:rsidR="00966AEB" w:rsidRPr="00576CD2" w:rsidRDefault="002C1DE5" w:rsidP="006772C9">
            <w:pPr>
              <w:pStyle w:val="ListParagraph"/>
              <w:ind w:left="0"/>
              <w:contextualSpacing w:val="0"/>
              <w:jc w:val="both"/>
              <w:rPr>
                <w:rFonts w:eastAsia="Calibri" w:cstheme="minorHAnsi"/>
                <w:b/>
                <w:spacing w:val="1"/>
                <w:sz w:val="18"/>
                <w:szCs w:val="18"/>
              </w:rPr>
            </w:pPr>
            <w:r w:rsidRPr="00576CD2">
              <w:rPr>
                <w:rFonts w:eastAsia="Calibri" w:cstheme="minorHAnsi"/>
                <w:b/>
                <w:spacing w:val="1"/>
                <w:sz w:val="18"/>
                <w:szCs w:val="18"/>
              </w:rPr>
              <w:t xml:space="preserve">Brief Summary </w:t>
            </w:r>
          </w:p>
        </w:tc>
      </w:tr>
      <w:tr w:rsidR="00576CD2" w:rsidRPr="00576CD2" w14:paraId="6578B462" w14:textId="77777777" w:rsidTr="005A3BEE">
        <w:tc>
          <w:tcPr>
            <w:tcW w:w="450" w:type="dxa"/>
          </w:tcPr>
          <w:p w14:paraId="7FD59F0C" w14:textId="50AF98F8" w:rsidR="00656A3B" w:rsidRPr="00576CD2" w:rsidRDefault="004C3C8E" w:rsidP="006772C9">
            <w:pPr>
              <w:pStyle w:val="ListParagraph"/>
              <w:ind w:left="0"/>
              <w:contextualSpacing w:val="0"/>
              <w:jc w:val="both"/>
              <w:rPr>
                <w:rFonts w:eastAsia="Calibri" w:cstheme="minorHAnsi"/>
                <w:spacing w:val="-1"/>
                <w:sz w:val="18"/>
                <w:szCs w:val="18"/>
              </w:rPr>
            </w:pPr>
            <w:r w:rsidRPr="00576CD2">
              <w:rPr>
                <w:rFonts w:eastAsia="Calibri" w:cstheme="minorHAnsi"/>
                <w:spacing w:val="-1"/>
                <w:sz w:val="18"/>
                <w:szCs w:val="18"/>
              </w:rPr>
              <w:t>1</w:t>
            </w:r>
          </w:p>
        </w:tc>
        <w:tc>
          <w:tcPr>
            <w:tcW w:w="3060" w:type="dxa"/>
          </w:tcPr>
          <w:p w14:paraId="02B25287" w14:textId="147B28B4" w:rsidR="00476994" w:rsidRPr="00576CD2" w:rsidRDefault="004C3C8E" w:rsidP="00476994">
            <w:pPr>
              <w:pStyle w:val="ListParagraph"/>
              <w:ind w:left="0"/>
              <w:contextualSpacing w:val="0"/>
              <w:rPr>
                <w:sz w:val="18"/>
                <w:szCs w:val="18"/>
              </w:rPr>
            </w:pPr>
            <w:r w:rsidRPr="00576CD2">
              <w:rPr>
                <w:sz w:val="18"/>
                <w:szCs w:val="18"/>
              </w:rPr>
              <w:t>Szeto WY, Vallabhajosyula P, Matsuda H, Moainie SL, Sharafuddin MJ, Corvera J, et al.</w:t>
            </w:r>
            <w:r w:rsidR="00476994" w:rsidRPr="00576CD2">
              <w:rPr>
                <w:sz w:val="18"/>
                <w:szCs w:val="18"/>
              </w:rPr>
              <w:t xml:space="preserve"> </w:t>
            </w:r>
            <w:r w:rsidR="003E2AEF" w:rsidRPr="00576CD2">
              <w:rPr>
                <w:sz w:val="18"/>
                <w:szCs w:val="18"/>
              </w:rPr>
              <w:t>One-Year Results with a Low-Profile Endograft in Subjects with Thoracic Aortic Aneurysm and Ulcer Pathologies. The Journal of Thoracic and Cardiovascular Surgery [Internet].</w:t>
            </w:r>
            <w:r w:rsidR="00476994" w:rsidRPr="00576CD2">
              <w:rPr>
                <w:sz w:val="18"/>
                <w:szCs w:val="18"/>
              </w:rPr>
              <w:t xml:space="preserve"> 2022 Feb 1 [cited 2022 Feb 1] </w:t>
            </w:r>
          </w:p>
          <w:p w14:paraId="6B9603A4" w14:textId="0E14C6E9" w:rsidR="003E2AEF" w:rsidRPr="00576CD2" w:rsidRDefault="003E2AEF" w:rsidP="003E2AEF">
            <w:pPr>
              <w:pStyle w:val="ListParagraph"/>
              <w:ind w:left="0"/>
              <w:contextualSpacing w:val="0"/>
              <w:rPr>
                <w:sz w:val="18"/>
                <w:szCs w:val="18"/>
              </w:rPr>
            </w:pPr>
          </w:p>
          <w:p w14:paraId="41438659" w14:textId="46C36FBD" w:rsidR="003E2AEF" w:rsidRPr="00576CD2" w:rsidRDefault="003E2AEF" w:rsidP="003E2AEF">
            <w:pPr>
              <w:rPr>
                <w:rFonts w:cstheme="minorHAnsi"/>
                <w:sz w:val="18"/>
                <w:szCs w:val="18"/>
              </w:rPr>
            </w:pPr>
            <w:r w:rsidRPr="00576CD2">
              <w:rPr>
                <w:sz w:val="18"/>
                <w:szCs w:val="18"/>
              </w:rPr>
              <w:t>Available from: https://www.sciencedirect.com/science/article/pii/S0022522322001015</w:t>
            </w:r>
          </w:p>
        </w:tc>
        <w:tc>
          <w:tcPr>
            <w:tcW w:w="5850" w:type="dxa"/>
          </w:tcPr>
          <w:p w14:paraId="5685C8E4" w14:textId="2C215D2A" w:rsidR="003E2AEF" w:rsidRPr="00576CD2" w:rsidRDefault="004571C4" w:rsidP="000B6CE7">
            <w:pPr>
              <w:jc w:val="both"/>
              <w:rPr>
                <w:rFonts w:eastAsia="Calibri" w:cstheme="minorHAnsi"/>
                <w:sz w:val="18"/>
                <w:szCs w:val="18"/>
              </w:rPr>
            </w:pPr>
            <w:r w:rsidRPr="00576CD2">
              <w:rPr>
                <w:rFonts w:eastAsia="Calibri" w:cstheme="minorHAnsi"/>
                <w:sz w:val="18"/>
                <w:szCs w:val="18"/>
              </w:rPr>
              <w:t xml:space="preserve">A study population of 110 patients had a median (interquartile range) age of 76 (70-81) years, 69 (62.7%) were male, and 43 (39.1%) were Asian. Patients were treated for 76 fusiform aneurysms (69%), 24 saccular aneurysms (22%), and 10 penetrating atherosclerotic ulcers (9%). Most patients (82.7%) were treated with a non-bare stent configuration. Technical success was 100%. The median (interquartile range) procedure time was 91 (64-131) minutes, and the deployment time was 16 (10-25) minutes. A total of 50 patients (73.5%) in the US cohort had percutaneous access, whereas centers in Japan used only surgical cutdown. The 30-day composite major adverse events rate was 6.4% (95% upper confidence interval, 11.6%; P = .0002): 2 strokes, 2 procedural blood losses greater than 1000 mL requiring transfusion, 2 paralysis events, and 1 renal failure. Primary effectiveness was 89.2% (lower 95% confidence interval, 81.8%; P = .0185). Nine subjects experienced 11 events (1 aneurysm </w:t>
            </w:r>
            <w:r w:rsidRPr="00576CD2">
              <w:rPr>
                <w:rFonts w:eastAsia="Calibri" w:cstheme="minorHAnsi"/>
                <w:sz w:val="18"/>
                <w:szCs w:val="18"/>
              </w:rPr>
              <w:lastRenderedPageBreak/>
              <w:t>expansion, 6 secondary interventions, and 4 type I endoleaks). There was no loss of stent-graft patency, no rupture, no fractures, and no migration.</w:t>
            </w:r>
            <w:r w:rsidR="000B6CE7" w:rsidRPr="00576CD2">
              <w:rPr>
                <w:rFonts w:eastAsia="Calibri" w:cstheme="minorHAnsi"/>
                <w:sz w:val="18"/>
                <w:szCs w:val="18"/>
              </w:rPr>
              <w:t xml:space="preserve"> </w:t>
            </w:r>
            <w:r w:rsidRPr="00576CD2">
              <w:rPr>
                <w:rFonts w:eastAsia="Calibri" w:cstheme="minorHAnsi"/>
                <w:sz w:val="18"/>
                <w:szCs w:val="18"/>
              </w:rPr>
              <w:t>The low-profile RelayPro thoracic endograft met the study primary end points and demonstrated satisfactory 30-day safety and 1-year effectiveness for the treatment of patients with aneurysms of the descending thoracic aorta or penetrating atherosclerotic ulcers. Follow-up is ongoing to evaluate longer-term outcomes and durability.</w:t>
            </w:r>
          </w:p>
        </w:tc>
      </w:tr>
      <w:tr w:rsidR="009A6875" w:rsidRPr="00576CD2" w14:paraId="441D9623" w14:textId="77777777" w:rsidTr="005A3BEE">
        <w:tc>
          <w:tcPr>
            <w:tcW w:w="450" w:type="dxa"/>
          </w:tcPr>
          <w:p w14:paraId="371D12E3" w14:textId="3E15A4DE" w:rsidR="009A6875" w:rsidRPr="00576CD2" w:rsidRDefault="009A6875" w:rsidP="006772C9">
            <w:pPr>
              <w:pStyle w:val="ListParagraph"/>
              <w:ind w:left="0"/>
              <w:contextualSpacing w:val="0"/>
              <w:jc w:val="both"/>
              <w:rPr>
                <w:rFonts w:eastAsia="Calibri" w:cstheme="minorHAnsi"/>
                <w:spacing w:val="-1"/>
                <w:sz w:val="18"/>
                <w:szCs w:val="18"/>
              </w:rPr>
            </w:pPr>
            <w:r w:rsidRPr="00576CD2">
              <w:rPr>
                <w:rFonts w:eastAsia="Calibri" w:cstheme="minorHAnsi"/>
                <w:spacing w:val="-1"/>
                <w:sz w:val="18"/>
                <w:szCs w:val="18"/>
              </w:rPr>
              <w:lastRenderedPageBreak/>
              <w:t>2</w:t>
            </w:r>
          </w:p>
        </w:tc>
        <w:tc>
          <w:tcPr>
            <w:tcW w:w="3060" w:type="dxa"/>
          </w:tcPr>
          <w:p w14:paraId="4BD10BC3" w14:textId="77777777" w:rsidR="00E00DF9" w:rsidRPr="00576CD2" w:rsidRDefault="00844A01" w:rsidP="00476994">
            <w:pPr>
              <w:pStyle w:val="ListParagraph"/>
              <w:ind w:left="0"/>
              <w:contextualSpacing w:val="0"/>
              <w:rPr>
                <w:sz w:val="18"/>
                <w:szCs w:val="18"/>
              </w:rPr>
            </w:pPr>
            <w:r w:rsidRPr="00576CD2">
              <w:rPr>
                <w:sz w:val="18"/>
                <w:szCs w:val="18"/>
              </w:rPr>
              <w:t xml:space="preserve">Pappas G, Stoner M, Narins C, Westfall C, Candelaria A, Mix D. Modified Scalloped Endograft for Failed Endovascular Repair of an Aortic Arch Dissection. Journal of Vascular Surgery. 2021;74(4):e345-e346. </w:t>
            </w:r>
          </w:p>
          <w:p w14:paraId="128BE2CE" w14:textId="483743D8" w:rsidR="009A6875" w:rsidRPr="00576CD2" w:rsidRDefault="00844A01" w:rsidP="00476994">
            <w:pPr>
              <w:pStyle w:val="ListParagraph"/>
              <w:ind w:left="0"/>
              <w:contextualSpacing w:val="0"/>
              <w:rPr>
                <w:sz w:val="18"/>
                <w:szCs w:val="18"/>
              </w:rPr>
            </w:pPr>
            <w:r w:rsidRPr="00576CD2">
              <w:rPr>
                <w:sz w:val="18"/>
                <w:szCs w:val="18"/>
              </w:rPr>
              <w:t>doi:</w:t>
            </w:r>
            <w:r w:rsidR="00E00DF9" w:rsidRPr="00576CD2">
              <w:rPr>
                <w:sz w:val="18"/>
                <w:szCs w:val="18"/>
              </w:rPr>
              <w:t xml:space="preserve"> </w:t>
            </w:r>
            <w:r w:rsidRPr="00576CD2">
              <w:rPr>
                <w:sz w:val="18"/>
                <w:szCs w:val="18"/>
              </w:rPr>
              <w:t>10.1016/j.jvs.2021.07.023</w:t>
            </w:r>
            <w:r w:rsidR="00E00DF9" w:rsidRPr="00576CD2">
              <w:rPr>
                <w:sz w:val="18"/>
                <w:szCs w:val="18"/>
              </w:rPr>
              <w:t xml:space="preserve">  </w:t>
            </w:r>
          </w:p>
          <w:p w14:paraId="716A5678" w14:textId="0644A573" w:rsidR="00E00DF9" w:rsidRPr="00576CD2" w:rsidRDefault="00E00DF9" w:rsidP="00476994">
            <w:pPr>
              <w:pStyle w:val="ListParagraph"/>
              <w:ind w:left="0"/>
              <w:contextualSpacing w:val="0"/>
              <w:rPr>
                <w:sz w:val="18"/>
                <w:szCs w:val="18"/>
              </w:rPr>
            </w:pPr>
          </w:p>
        </w:tc>
        <w:tc>
          <w:tcPr>
            <w:tcW w:w="5850" w:type="dxa"/>
          </w:tcPr>
          <w:p w14:paraId="219217D7" w14:textId="28DDF74D" w:rsidR="009A6875" w:rsidRPr="00576CD2" w:rsidRDefault="005563B4" w:rsidP="000B6CE7">
            <w:pPr>
              <w:jc w:val="both"/>
              <w:rPr>
                <w:rFonts w:eastAsia="Calibri" w:cstheme="minorHAnsi"/>
                <w:sz w:val="18"/>
                <w:szCs w:val="18"/>
              </w:rPr>
            </w:pPr>
            <w:r w:rsidRPr="00576CD2">
              <w:rPr>
                <w:rFonts w:eastAsia="Calibri" w:cstheme="minorHAnsi"/>
                <w:sz w:val="18"/>
                <w:szCs w:val="18"/>
              </w:rPr>
              <w:t xml:space="preserve">This </w:t>
            </w:r>
            <w:r w:rsidR="00C816EE" w:rsidRPr="00576CD2">
              <w:rPr>
                <w:rFonts w:eastAsia="Calibri" w:cstheme="minorHAnsi"/>
                <w:sz w:val="18"/>
                <w:szCs w:val="18"/>
              </w:rPr>
              <w:t xml:space="preserve">publication relates to a modified RelayPro-based device </w:t>
            </w:r>
            <w:r w:rsidR="00A5642E" w:rsidRPr="00576CD2">
              <w:rPr>
                <w:rFonts w:eastAsia="Calibri" w:cstheme="minorHAnsi"/>
                <w:sz w:val="18"/>
                <w:szCs w:val="18"/>
              </w:rPr>
              <w:t xml:space="preserve">with a proximal scallop which was implanted </w:t>
            </w:r>
            <w:r w:rsidR="00E00DF9" w:rsidRPr="00576CD2">
              <w:rPr>
                <w:rFonts w:eastAsia="Calibri" w:cstheme="minorHAnsi"/>
                <w:sz w:val="18"/>
                <w:szCs w:val="18"/>
              </w:rPr>
              <w:t xml:space="preserve">under </w:t>
            </w:r>
            <w:r w:rsidR="00C816EE" w:rsidRPr="00576CD2">
              <w:rPr>
                <w:rFonts w:eastAsia="Calibri" w:cstheme="minorHAnsi"/>
                <w:b/>
                <w:bCs/>
                <w:sz w:val="18"/>
                <w:szCs w:val="18"/>
              </w:rPr>
              <w:t>Compassionate Us</w:t>
            </w:r>
            <w:r w:rsidR="00E00DF9" w:rsidRPr="00576CD2">
              <w:rPr>
                <w:rFonts w:eastAsia="Calibri" w:cstheme="minorHAnsi"/>
                <w:b/>
                <w:bCs/>
                <w:sz w:val="18"/>
                <w:szCs w:val="18"/>
              </w:rPr>
              <w:t>e</w:t>
            </w:r>
            <w:r w:rsidR="00A5642E" w:rsidRPr="00576CD2">
              <w:rPr>
                <w:rFonts w:eastAsia="Calibri" w:cstheme="minorHAnsi"/>
                <w:sz w:val="18"/>
                <w:szCs w:val="18"/>
              </w:rPr>
              <w:t xml:space="preserve"> approval</w:t>
            </w:r>
            <w:r w:rsidR="00E00DF9" w:rsidRPr="00576CD2">
              <w:rPr>
                <w:rFonts w:eastAsia="Calibri" w:cstheme="minorHAnsi"/>
                <w:sz w:val="18"/>
                <w:szCs w:val="18"/>
              </w:rPr>
              <w:t>.</w:t>
            </w:r>
          </w:p>
          <w:p w14:paraId="62F51884" w14:textId="77777777" w:rsidR="00062C8A" w:rsidRPr="00576CD2" w:rsidRDefault="00641189" w:rsidP="00062C8A">
            <w:pPr>
              <w:jc w:val="both"/>
              <w:rPr>
                <w:rFonts w:eastAsia="Calibri" w:cstheme="minorHAnsi"/>
                <w:sz w:val="18"/>
                <w:szCs w:val="18"/>
              </w:rPr>
            </w:pPr>
            <w:r w:rsidRPr="00576CD2">
              <w:rPr>
                <w:rFonts w:eastAsia="Calibri" w:cstheme="minorHAnsi"/>
                <w:sz w:val="18"/>
                <w:szCs w:val="18"/>
              </w:rPr>
              <w:t xml:space="preserve">The device was </w:t>
            </w:r>
            <w:r w:rsidR="00314348" w:rsidRPr="00576CD2">
              <w:rPr>
                <w:rFonts w:eastAsia="Calibri" w:cstheme="minorHAnsi"/>
                <w:sz w:val="18"/>
                <w:szCs w:val="18"/>
              </w:rPr>
              <w:t xml:space="preserve">used for endovascular salvage after thoracic endovascular aneurysmal repair (TEVAR) to repair a </w:t>
            </w:r>
            <w:r w:rsidR="00062C8A" w:rsidRPr="00576CD2">
              <w:rPr>
                <w:rFonts w:eastAsia="Calibri" w:cstheme="minorHAnsi"/>
                <w:sz w:val="18"/>
                <w:szCs w:val="18"/>
              </w:rPr>
              <w:t>T</w:t>
            </w:r>
            <w:r w:rsidR="00314348" w:rsidRPr="00576CD2">
              <w:rPr>
                <w:rFonts w:eastAsia="Calibri" w:cstheme="minorHAnsi"/>
                <w:sz w:val="18"/>
                <w:szCs w:val="18"/>
              </w:rPr>
              <w:t>ype Ia endoleak in a patient with continued rapid proximal arch aneurysmal degeneration after open type A dissection repair complicated by vocal cord paralysis and TEVAR failure</w:t>
            </w:r>
            <w:r w:rsidR="00062C8A" w:rsidRPr="00576CD2">
              <w:rPr>
                <w:rFonts w:eastAsia="Calibri" w:cstheme="minorHAnsi"/>
                <w:sz w:val="18"/>
                <w:szCs w:val="18"/>
              </w:rPr>
              <w:t xml:space="preserve">. </w:t>
            </w:r>
            <w:r w:rsidR="007437DB" w:rsidRPr="00576CD2">
              <w:rPr>
                <w:rFonts w:eastAsia="Calibri" w:cstheme="minorHAnsi"/>
                <w:sz w:val="18"/>
                <w:szCs w:val="18"/>
              </w:rPr>
              <w:t xml:space="preserve">The patient was a 52-year-old woman with prior open sternotomy complicated by wound infection and vocal cord paralysis, deeming her at high risk of reoperative open sternotomy. Her native bovine arch and subsequent debranching with TEVAR necessitated an endovascular device configured to maintain cerebrovascular and upper extremity perfusion. </w:t>
            </w:r>
            <w:r w:rsidR="0078027A" w:rsidRPr="00576CD2">
              <w:rPr>
                <w:rFonts w:eastAsia="Calibri" w:cstheme="minorHAnsi"/>
                <w:sz w:val="18"/>
                <w:szCs w:val="18"/>
              </w:rPr>
              <w:t xml:space="preserve">The 6-month follow-up computed tomography scan showed resolution of the </w:t>
            </w:r>
            <w:r w:rsidR="00062C8A" w:rsidRPr="00576CD2">
              <w:rPr>
                <w:rFonts w:eastAsia="Calibri" w:cstheme="minorHAnsi"/>
                <w:sz w:val="18"/>
                <w:szCs w:val="18"/>
              </w:rPr>
              <w:t>T</w:t>
            </w:r>
            <w:r w:rsidR="0078027A" w:rsidRPr="00576CD2">
              <w:rPr>
                <w:rFonts w:eastAsia="Calibri" w:cstheme="minorHAnsi"/>
                <w:sz w:val="18"/>
                <w:szCs w:val="18"/>
              </w:rPr>
              <w:t>ype Ia endoleak. No impingement of the brachiocephalic artery origin was present, and no further proximal arch aneurysmal degeneration had occurred. At the last follow-up, the patient was doing well without evidence of device-related complications.</w:t>
            </w:r>
            <w:r w:rsidR="00A5642E" w:rsidRPr="00576CD2">
              <w:rPr>
                <w:rFonts w:eastAsia="Calibri" w:cstheme="minorHAnsi"/>
                <w:sz w:val="18"/>
                <w:szCs w:val="18"/>
              </w:rPr>
              <w:t xml:space="preserve"> </w:t>
            </w:r>
          </w:p>
          <w:p w14:paraId="178428CA" w14:textId="671670DF" w:rsidR="0078027A" w:rsidRPr="00576CD2" w:rsidRDefault="00A5642E" w:rsidP="00062C8A">
            <w:pPr>
              <w:jc w:val="both"/>
              <w:rPr>
                <w:rFonts w:eastAsia="Calibri" w:cstheme="minorHAnsi"/>
                <w:sz w:val="18"/>
                <w:szCs w:val="18"/>
              </w:rPr>
            </w:pPr>
            <w:r w:rsidRPr="00576CD2">
              <w:rPr>
                <w:rFonts w:eastAsia="Calibri" w:cstheme="minorHAnsi"/>
                <w:sz w:val="18"/>
                <w:szCs w:val="18"/>
              </w:rPr>
              <w:t>Further investigation is warranted to determine whether a proximal scalloped configuration of a thoracic endograft can provide a more effective seal in thoracic aortic pathology.</w:t>
            </w:r>
          </w:p>
        </w:tc>
      </w:tr>
    </w:tbl>
    <w:p w14:paraId="12C2B548" w14:textId="1C784EA6" w:rsidR="00CC77CA" w:rsidRPr="00576CD2" w:rsidRDefault="00CC77CA" w:rsidP="006772C9">
      <w:pPr>
        <w:pStyle w:val="ListParagraph"/>
        <w:spacing w:line="240" w:lineRule="auto"/>
        <w:jc w:val="both"/>
        <w:rPr>
          <w:rFonts w:cstheme="minorHAnsi"/>
        </w:rPr>
      </w:pPr>
    </w:p>
    <w:p w14:paraId="0DF2F370" w14:textId="77777777" w:rsidR="000E0B4F" w:rsidRPr="00576CD2" w:rsidRDefault="000A0BBC" w:rsidP="006772C9">
      <w:pPr>
        <w:pStyle w:val="ListParagraph"/>
        <w:numPr>
          <w:ilvl w:val="0"/>
          <w:numId w:val="4"/>
        </w:numPr>
        <w:spacing w:before="12" w:line="240" w:lineRule="auto"/>
        <w:ind w:right="617"/>
        <w:contextualSpacing w:val="0"/>
        <w:jc w:val="both"/>
        <w:rPr>
          <w:rFonts w:cstheme="minorHAnsi"/>
          <w:b/>
          <w:bCs/>
        </w:rPr>
      </w:pPr>
      <w:r w:rsidRPr="00576CD2">
        <w:rPr>
          <w:rFonts w:cstheme="minorHAnsi"/>
          <w:b/>
          <w:bCs/>
          <w:u w:val="single"/>
        </w:rPr>
        <w:t>Conclusion</w:t>
      </w:r>
      <w:r w:rsidRPr="00576CD2">
        <w:rPr>
          <w:rFonts w:cstheme="minorHAnsi"/>
          <w:b/>
          <w:bCs/>
        </w:rPr>
        <w:t xml:space="preserve">: </w:t>
      </w:r>
    </w:p>
    <w:p w14:paraId="4B175449" w14:textId="637FBD60" w:rsidR="007211D4" w:rsidRPr="00576CD2" w:rsidRDefault="007211D4" w:rsidP="005A3849">
      <w:pPr>
        <w:pStyle w:val="ListParagraph"/>
        <w:spacing w:before="12" w:line="240" w:lineRule="auto"/>
        <w:contextualSpacing w:val="0"/>
        <w:jc w:val="both"/>
        <w:rPr>
          <w:rFonts w:cstheme="minorHAnsi"/>
        </w:rPr>
      </w:pPr>
      <w:r w:rsidRPr="00576CD2">
        <w:rPr>
          <w:rFonts w:cstheme="minorHAnsi"/>
        </w:rPr>
        <w:t xml:space="preserve">Based on available clinical study data and world-wide clinical experience to date, endovascular therapy with the </w:t>
      </w:r>
      <w:r w:rsidR="00ED46B5" w:rsidRPr="00576CD2">
        <w:rPr>
          <w:rFonts w:cstheme="minorHAnsi"/>
        </w:rPr>
        <w:t xml:space="preserve">RelayPro Thoracic </w:t>
      </w:r>
      <w:r w:rsidRPr="00576CD2">
        <w:rPr>
          <w:rFonts w:cstheme="minorHAnsi"/>
        </w:rPr>
        <w:t xml:space="preserve">Stent-Graft System continues to be a viable treatment option for </w:t>
      </w:r>
      <w:r w:rsidR="00ED46B5" w:rsidRPr="00576CD2">
        <w:rPr>
          <w:rFonts w:cstheme="minorHAnsi"/>
        </w:rPr>
        <w:t>fusiform</w:t>
      </w:r>
      <w:r w:rsidR="005F6D68" w:rsidRPr="00576CD2">
        <w:rPr>
          <w:rFonts w:cstheme="minorHAnsi"/>
        </w:rPr>
        <w:t xml:space="preserve"> aneurysms and </w:t>
      </w:r>
      <w:r w:rsidR="00ED46B5" w:rsidRPr="00576CD2">
        <w:rPr>
          <w:rFonts w:cstheme="minorHAnsi"/>
        </w:rPr>
        <w:t>saccular aneurysms</w:t>
      </w:r>
      <w:r w:rsidR="005F6D68" w:rsidRPr="00576CD2">
        <w:rPr>
          <w:rFonts w:cstheme="minorHAnsi"/>
        </w:rPr>
        <w:t>/PAUs</w:t>
      </w:r>
      <w:r w:rsidR="00ED46B5" w:rsidRPr="00576CD2">
        <w:rPr>
          <w:rFonts w:cstheme="minorHAnsi"/>
        </w:rPr>
        <w:t xml:space="preserve"> of the descending thoracic aorta</w:t>
      </w:r>
      <w:r w:rsidRPr="00576CD2">
        <w:rPr>
          <w:rFonts w:cstheme="minorHAnsi"/>
        </w:rPr>
        <w:t>.</w:t>
      </w:r>
    </w:p>
    <w:p w14:paraId="7687862F" w14:textId="4BEE5FA4" w:rsidR="001945F3" w:rsidRPr="00576CD2" w:rsidRDefault="001945F3" w:rsidP="006772C9">
      <w:pPr>
        <w:pStyle w:val="HEADLINER"/>
        <w:spacing w:line="240" w:lineRule="auto"/>
        <w:ind w:left="720"/>
        <w:jc w:val="both"/>
        <w:rPr>
          <w:rFonts w:asciiTheme="minorHAnsi" w:eastAsiaTheme="minorHAnsi" w:hAnsiTheme="minorHAnsi" w:cstheme="minorHAnsi"/>
          <w:b/>
          <w:bCs/>
          <w:color w:val="auto"/>
          <w:spacing w:val="0"/>
          <w:sz w:val="22"/>
          <w:szCs w:val="22"/>
        </w:rPr>
      </w:pPr>
      <w:r w:rsidRPr="00576CD2">
        <w:rPr>
          <w:rFonts w:asciiTheme="minorHAnsi" w:eastAsiaTheme="minorHAnsi" w:hAnsiTheme="minorHAnsi" w:cstheme="minorHAnsi"/>
          <w:b/>
          <w:bCs/>
          <w:color w:val="auto"/>
          <w:spacing w:val="0"/>
          <w:sz w:val="22"/>
          <w:szCs w:val="22"/>
          <w:u w:val="single"/>
        </w:rPr>
        <w:t>Adverse Event Reporting:</w:t>
      </w:r>
      <w:r w:rsidRPr="00576CD2">
        <w:rPr>
          <w:rFonts w:asciiTheme="minorHAnsi" w:eastAsiaTheme="minorHAnsi" w:hAnsiTheme="minorHAnsi" w:cstheme="minorHAnsi"/>
          <w:b/>
          <w:bCs/>
          <w:color w:val="auto"/>
          <w:spacing w:val="0"/>
          <w:sz w:val="22"/>
          <w:szCs w:val="22"/>
        </w:rPr>
        <w:t xml:space="preserve"> </w:t>
      </w:r>
    </w:p>
    <w:p w14:paraId="63F1B110" w14:textId="77777777" w:rsidR="00295FDE" w:rsidRPr="00576CD2" w:rsidRDefault="00295FDE" w:rsidP="006772C9">
      <w:pPr>
        <w:pStyle w:val="HEADLINER"/>
        <w:spacing w:line="240" w:lineRule="auto"/>
        <w:ind w:left="720"/>
        <w:jc w:val="both"/>
        <w:rPr>
          <w:rFonts w:asciiTheme="minorHAnsi" w:eastAsiaTheme="minorHAnsi" w:hAnsiTheme="minorHAnsi" w:cstheme="minorHAnsi"/>
          <w:b/>
          <w:bCs/>
          <w:color w:val="auto"/>
          <w:spacing w:val="0"/>
          <w:sz w:val="22"/>
          <w:szCs w:val="22"/>
        </w:rPr>
      </w:pPr>
    </w:p>
    <w:p w14:paraId="035CB175" w14:textId="79383DEE" w:rsidR="00E65DEB" w:rsidRPr="00576CD2" w:rsidRDefault="00E65DEB" w:rsidP="006772C9">
      <w:pPr>
        <w:pStyle w:val="HEADLINER"/>
        <w:spacing w:line="240" w:lineRule="auto"/>
        <w:ind w:left="720"/>
        <w:jc w:val="both"/>
        <w:rPr>
          <w:rFonts w:asciiTheme="minorHAnsi" w:eastAsiaTheme="minorHAnsi" w:hAnsiTheme="minorHAnsi" w:cstheme="minorHAnsi"/>
          <w:color w:val="auto"/>
          <w:spacing w:val="0"/>
          <w:sz w:val="22"/>
          <w:szCs w:val="22"/>
        </w:rPr>
      </w:pPr>
      <w:r w:rsidRPr="00576CD2">
        <w:rPr>
          <w:rFonts w:asciiTheme="minorHAnsi" w:eastAsiaTheme="minorHAnsi" w:hAnsiTheme="minorHAnsi" w:cstheme="minorHAnsi"/>
          <w:color w:val="auto"/>
          <w:spacing w:val="0"/>
          <w:sz w:val="22"/>
          <w:szCs w:val="22"/>
        </w:rPr>
        <w:t>As indicated in the Instructions for Use, adverse events or complaints should be reported by contacting 1-855-726-5866 (1-855-7BOLTON).  Accurate and timely reporting of adverse events by the physician users to the device manufacturer and FDA (MedWatch Form 3500) is critical for monitoring device performance and detection of potential device-related safety issues.</w:t>
      </w:r>
    </w:p>
    <w:p w14:paraId="253ED53F" w14:textId="77777777" w:rsidR="001945F3" w:rsidRPr="00576CD2" w:rsidRDefault="001945F3" w:rsidP="006772C9">
      <w:pPr>
        <w:pStyle w:val="HEADLINER"/>
        <w:jc w:val="both"/>
        <w:rPr>
          <w:rFonts w:asciiTheme="minorHAnsi" w:eastAsiaTheme="minorHAnsi" w:hAnsiTheme="minorHAnsi" w:cstheme="minorHAnsi"/>
          <w:color w:val="auto"/>
          <w:spacing w:val="0"/>
          <w:sz w:val="22"/>
          <w:szCs w:val="22"/>
          <w:u w:val="single"/>
        </w:rPr>
      </w:pPr>
    </w:p>
    <w:p w14:paraId="704CDDCF" w14:textId="77777777" w:rsidR="00F4534F" w:rsidRPr="00576CD2" w:rsidRDefault="00E21386" w:rsidP="006772C9">
      <w:pPr>
        <w:spacing w:line="240" w:lineRule="auto"/>
        <w:ind w:left="720"/>
        <w:jc w:val="both"/>
        <w:rPr>
          <w:rFonts w:cstheme="minorHAnsi"/>
          <w:u w:val="single"/>
        </w:rPr>
      </w:pPr>
      <w:r w:rsidRPr="00576CD2">
        <w:rPr>
          <w:rFonts w:cstheme="minorHAnsi"/>
          <w:b/>
          <w:bCs/>
          <w:u w:val="single"/>
        </w:rPr>
        <w:t>Patient Follow</w:t>
      </w:r>
      <w:r w:rsidRPr="00576CD2">
        <w:rPr>
          <w:rFonts w:ascii="Cambria Math" w:hAnsi="Cambria Math" w:cs="Cambria Math"/>
          <w:b/>
          <w:bCs/>
          <w:u w:val="single"/>
        </w:rPr>
        <w:t>‑</w:t>
      </w:r>
      <w:r w:rsidRPr="00576CD2">
        <w:rPr>
          <w:rFonts w:cstheme="minorHAnsi"/>
          <w:b/>
          <w:bCs/>
          <w:u w:val="single"/>
        </w:rPr>
        <w:t>Up and Selection:</w:t>
      </w:r>
      <w:r w:rsidRPr="00576CD2">
        <w:rPr>
          <w:rFonts w:cstheme="minorHAnsi"/>
          <w:u w:val="single"/>
        </w:rPr>
        <w:t xml:space="preserve"> </w:t>
      </w:r>
    </w:p>
    <w:p w14:paraId="7CDF759C" w14:textId="2C9C21B1" w:rsidR="00543357" w:rsidRPr="00576CD2" w:rsidRDefault="000E0B4F" w:rsidP="006772C9">
      <w:pPr>
        <w:spacing w:line="240" w:lineRule="auto"/>
        <w:ind w:left="720"/>
        <w:jc w:val="both"/>
        <w:rPr>
          <w:rFonts w:cstheme="minorHAnsi"/>
          <w:i/>
          <w:iCs/>
        </w:rPr>
      </w:pPr>
      <w:r w:rsidRPr="00576CD2">
        <w:rPr>
          <w:rFonts w:cstheme="minorHAnsi"/>
        </w:rPr>
        <w:t xml:space="preserve">Regular follow-up of all patients treated with the </w:t>
      </w:r>
      <w:r w:rsidR="00ED46B5" w:rsidRPr="00576CD2">
        <w:rPr>
          <w:rFonts w:cstheme="minorHAnsi"/>
        </w:rPr>
        <w:t xml:space="preserve">RelayPro Thoracic </w:t>
      </w:r>
      <w:r w:rsidRPr="00576CD2">
        <w:rPr>
          <w:rFonts w:cstheme="minorHAnsi"/>
        </w:rPr>
        <w:t>Stent-Graft System is required. Physicians should tailor patient follow-up to the needs and circumstances of each individual patient  following  endovascular  graft  placement. Patients  should  be  regularly monitored  for endoleaks, lesion growth, or changes in the structure or position of the endovascular graft. At a minimum, annual imaging is recommended.</w:t>
      </w:r>
      <w:r w:rsidR="005A2996" w:rsidRPr="00576CD2">
        <w:rPr>
          <w:rFonts w:cstheme="minorHAnsi"/>
          <w:i/>
          <w:iCs/>
        </w:rPr>
        <w:t xml:space="preserve"> </w:t>
      </w:r>
    </w:p>
    <w:sectPr w:rsidR="00543357" w:rsidRPr="00576CD2" w:rsidSect="00CD6C9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2EF1" w14:textId="77777777" w:rsidR="000F2002" w:rsidRDefault="000F2002" w:rsidP="00E01B76">
      <w:pPr>
        <w:spacing w:after="0" w:line="240" w:lineRule="auto"/>
      </w:pPr>
      <w:r>
        <w:separator/>
      </w:r>
    </w:p>
  </w:endnote>
  <w:endnote w:type="continuationSeparator" w:id="0">
    <w:p w14:paraId="5A3AA2CE" w14:textId="77777777" w:rsidR="000F2002" w:rsidRDefault="000F2002" w:rsidP="00E01B76">
      <w:pPr>
        <w:spacing w:after="0" w:line="240" w:lineRule="auto"/>
      </w:pPr>
      <w:r>
        <w:continuationSeparator/>
      </w:r>
    </w:p>
  </w:endnote>
  <w:endnote w:type="continuationNotice" w:id="1">
    <w:p w14:paraId="777762F5" w14:textId="77777777" w:rsidR="000F2002" w:rsidRDefault="000F2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charset w:val="00"/>
    <w:family w:val="swiss"/>
    <w:pitch w:val="variable"/>
    <w:sig w:usb0="80000027" w:usb1="00000000" w:usb2="00000000" w:usb3="00000000" w:csb0="00000001" w:csb1="00000000"/>
  </w:font>
  <w:font w:name="MetaBoldLF-Roman">
    <w:altName w:val="Calibri"/>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DD69" w14:textId="77777777" w:rsidR="00456DB1" w:rsidRDefault="00456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C5A" w14:textId="33B30047" w:rsidR="006E2419" w:rsidRDefault="009C317B" w:rsidP="009C317B">
    <w:pPr>
      <w:pStyle w:val="Footer"/>
    </w:pPr>
    <w:r w:rsidRPr="009C317B">
      <w:rPr>
        <w:b/>
        <w:bCs/>
      </w:rPr>
      <w:t>PM-07021</w:t>
    </w:r>
    <w:r>
      <w:rPr>
        <w:b/>
        <w:bCs/>
      </w:rPr>
      <w:t xml:space="preserve"> Ver </w:t>
    </w:r>
    <w:r w:rsidR="00AC018F">
      <w:rPr>
        <w:b/>
        <w:bCs/>
      </w:rPr>
      <w:t>1</w:t>
    </w:r>
    <w:r w:rsidR="00456DB1">
      <w:rPr>
        <w:b/>
        <w:bCs/>
      </w:rPr>
      <w:t>.0</w:t>
    </w:r>
    <w:r>
      <w:tab/>
    </w:r>
    <w:r>
      <w:tab/>
    </w:r>
    <w:r w:rsidR="006E2419">
      <w:t xml:space="preserve">Page </w:t>
    </w:r>
    <w:r w:rsidR="006E2419">
      <w:rPr>
        <w:b/>
        <w:bCs/>
      </w:rPr>
      <w:fldChar w:fldCharType="begin"/>
    </w:r>
    <w:r w:rsidR="006E2419">
      <w:rPr>
        <w:b/>
        <w:bCs/>
      </w:rPr>
      <w:instrText xml:space="preserve"> PAGE  \* Arabic  \* MERGEFORMAT </w:instrText>
    </w:r>
    <w:r w:rsidR="006E2419">
      <w:rPr>
        <w:b/>
        <w:bCs/>
      </w:rPr>
      <w:fldChar w:fldCharType="separate"/>
    </w:r>
    <w:r w:rsidR="006E2419">
      <w:rPr>
        <w:b/>
        <w:bCs/>
        <w:noProof/>
      </w:rPr>
      <w:t>1</w:t>
    </w:r>
    <w:r w:rsidR="006E2419">
      <w:rPr>
        <w:b/>
        <w:bCs/>
      </w:rPr>
      <w:fldChar w:fldCharType="end"/>
    </w:r>
    <w:r w:rsidR="006E2419">
      <w:t xml:space="preserve"> of </w:t>
    </w:r>
    <w:r w:rsidR="006E2419">
      <w:rPr>
        <w:b/>
        <w:bCs/>
      </w:rPr>
      <w:fldChar w:fldCharType="begin"/>
    </w:r>
    <w:r w:rsidR="006E2419">
      <w:rPr>
        <w:b/>
        <w:bCs/>
      </w:rPr>
      <w:instrText xml:space="preserve"> NUMPAGES  \* Arabic  \* MERGEFORMAT </w:instrText>
    </w:r>
    <w:r w:rsidR="006E2419">
      <w:rPr>
        <w:b/>
        <w:bCs/>
      </w:rPr>
      <w:fldChar w:fldCharType="separate"/>
    </w:r>
    <w:r w:rsidR="006E2419">
      <w:rPr>
        <w:b/>
        <w:bCs/>
        <w:noProof/>
      </w:rPr>
      <w:t>2</w:t>
    </w:r>
    <w:r w:rsidR="006E2419">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4861" w14:textId="77777777" w:rsidR="00456DB1" w:rsidRDefault="00456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4317" w14:textId="77777777" w:rsidR="000F2002" w:rsidRDefault="000F2002" w:rsidP="00E01B76">
      <w:pPr>
        <w:spacing w:after="0" w:line="240" w:lineRule="auto"/>
      </w:pPr>
      <w:r>
        <w:separator/>
      </w:r>
    </w:p>
  </w:footnote>
  <w:footnote w:type="continuationSeparator" w:id="0">
    <w:p w14:paraId="04B7581D" w14:textId="77777777" w:rsidR="000F2002" w:rsidRDefault="000F2002" w:rsidP="00E01B76">
      <w:pPr>
        <w:spacing w:after="0" w:line="240" w:lineRule="auto"/>
      </w:pPr>
      <w:r>
        <w:continuationSeparator/>
      </w:r>
    </w:p>
  </w:footnote>
  <w:footnote w:type="continuationNotice" w:id="1">
    <w:p w14:paraId="2F771E53" w14:textId="77777777" w:rsidR="000F2002" w:rsidRDefault="000F20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D4E3" w14:textId="77777777" w:rsidR="00456DB1" w:rsidRDefault="0045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97EC" w14:textId="387AB1FC" w:rsidR="00A23039" w:rsidRDefault="006B65C5" w:rsidP="00A23039">
    <w:pPr>
      <w:pStyle w:val="Header"/>
      <w:jc w:val="center"/>
      <w:rPr>
        <w:rFonts w:cstheme="minorHAnsi"/>
        <w:b/>
        <w:bCs/>
      </w:rPr>
    </w:pPr>
    <w:r w:rsidRPr="006772C9">
      <w:rPr>
        <w:rFonts w:cstheme="minorHAnsi"/>
        <w:b/>
        <w:bCs/>
      </w:rPr>
      <w:t>Bolton Medical, Inc. (</w:t>
    </w:r>
    <w:r w:rsidR="008D509F" w:rsidRPr="006772C9">
      <w:rPr>
        <w:rFonts w:cstheme="minorHAnsi"/>
        <w:b/>
        <w:bCs/>
      </w:rPr>
      <w:t>dba Terumo Aortic)</w:t>
    </w:r>
  </w:p>
  <w:p w14:paraId="633EF7E1" w14:textId="1FAD9FF1" w:rsidR="00295FDE" w:rsidRPr="006772C9" w:rsidRDefault="006772C9" w:rsidP="00A23039">
    <w:pPr>
      <w:pStyle w:val="Header"/>
      <w:jc w:val="center"/>
      <w:rPr>
        <w:rFonts w:cstheme="minorHAnsi"/>
        <w:b/>
        <w:bCs/>
      </w:rPr>
    </w:pPr>
    <w:r w:rsidRPr="006772C9">
      <w:rPr>
        <w:rFonts w:cstheme="minorHAnsi"/>
        <w:b/>
        <w:bCs/>
      </w:rPr>
      <w:t>RelayPro Thoracic</w:t>
    </w:r>
    <w:r w:rsidR="00295FDE" w:rsidRPr="006772C9">
      <w:rPr>
        <w:rFonts w:cstheme="minorHAnsi"/>
        <w:b/>
        <w:bCs/>
      </w:rPr>
      <w:t xml:space="preserve"> Stent-Graft System (P</w:t>
    </w:r>
    <w:r w:rsidRPr="006772C9">
      <w:rPr>
        <w:rFonts w:cstheme="minorHAnsi"/>
        <w:b/>
        <w:bCs/>
      </w:rPr>
      <w:t>200045</w:t>
    </w:r>
    <w:r w:rsidR="00295FDE" w:rsidRPr="006772C9">
      <w:rPr>
        <w:rFonts w:cstheme="minorHAnsi"/>
        <w:b/>
        <w:bCs/>
      </w:rPr>
      <w:t>)</w:t>
    </w:r>
  </w:p>
  <w:p w14:paraId="427FA8E0" w14:textId="579634F6" w:rsidR="00E01B76" w:rsidRPr="006772C9" w:rsidRDefault="008405E2" w:rsidP="00A23039">
    <w:pPr>
      <w:pStyle w:val="Header"/>
      <w:jc w:val="center"/>
      <w:rPr>
        <w:rFonts w:cstheme="minorHAnsi"/>
        <w:b/>
        <w:bCs/>
      </w:rPr>
    </w:pPr>
    <w:r w:rsidRPr="006772C9">
      <w:rPr>
        <w:rFonts w:cstheme="minorHAnsi"/>
        <w:b/>
        <w:bCs/>
      </w:rPr>
      <w:t xml:space="preserve">Annual </w:t>
    </w:r>
    <w:r w:rsidR="00E01B76" w:rsidRPr="006772C9">
      <w:rPr>
        <w:rFonts w:cstheme="minorHAnsi"/>
        <w:b/>
        <w:bCs/>
      </w:rPr>
      <w:t xml:space="preserve">Clinical Update </w:t>
    </w:r>
    <w:r w:rsidRPr="006772C9">
      <w:rPr>
        <w:rFonts w:cstheme="minorHAnsi"/>
        <w:b/>
        <w:bCs/>
      </w:rPr>
      <w:t>2021-2022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F913" w14:textId="77777777" w:rsidR="00456DB1" w:rsidRDefault="00456DB1">
    <w:pPr>
      <w:pStyle w:val="Header"/>
    </w:pPr>
  </w:p>
</w:hdr>
</file>

<file path=word/intelligence2.xml><?xml version="1.0" encoding="utf-8"?>
<int2:intelligence xmlns:int2="http://schemas.microsoft.com/office/intelligence/2020/intelligence" xmlns:oel="http://schemas.microsoft.com/office/2019/extlst">
  <int2:observations>
    <int2:textHash int2:hashCode="TPzxTKmoBhzoI6" int2:id="uUMH3Ft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44FD8"/>
    <w:multiLevelType w:val="hybridMultilevel"/>
    <w:tmpl w:val="9662D0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10579"/>
    <w:multiLevelType w:val="hybridMultilevel"/>
    <w:tmpl w:val="CA5228AA"/>
    <w:lvl w:ilvl="0" w:tplc="2A78B19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174A35"/>
    <w:multiLevelType w:val="hybridMultilevel"/>
    <w:tmpl w:val="0EBA75A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452179E"/>
    <w:multiLevelType w:val="hybridMultilevel"/>
    <w:tmpl w:val="D82220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061FA0"/>
    <w:multiLevelType w:val="hybridMultilevel"/>
    <w:tmpl w:val="00FE84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34D0F"/>
    <w:multiLevelType w:val="hybridMultilevel"/>
    <w:tmpl w:val="089A5F6C"/>
    <w:lvl w:ilvl="0" w:tplc="04090013">
      <w:start w:val="1"/>
      <w:numFmt w:val="upperRoman"/>
      <w:lvlText w:val="%1."/>
      <w:lvlJc w:val="righ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E54B6"/>
    <w:multiLevelType w:val="hybridMultilevel"/>
    <w:tmpl w:val="48A8C2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837B0"/>
    <w:multiLevelType w:val="hybridMultilevel"/>
    <w:tmpl w:val="5FBE7C2A"/>
    <w:lvl w:ilvl="0" w:tplc="F32EB4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4573A"/>
    <w:multiLevelType w:val="hybridMultilevel"/>
    <w:tmpl w:val="31AA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77967"/>
    <w:multiLevelType w:val="hybridMultilevel"/>
    <w:tmpl w:val="775A2FA8"/>
    <w:lvl w:ilvl="0" w:tplc="AADEA2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256509"/>
    <w:multiLevelType w:val="hybridMultilevel"/>
    <w:tmpl w:val="AB903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224C7D"/>
    <w:multiLevelType w:val="hybridMultilevel"/>
    <w:tmpl w:val="238616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179A2"/>
    <w:multiLevelType w:val="hybridMultilevel"/>
    <w:tmpl w:val="34C4D1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A09C4"/>
    <w:multiLevelType w:val="hybridMultilevel"/>
    <w:tmpl w:val="B852C91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D25327"/>
    <w:multiLevelType w:val="hybridMultilevel"/>
    <w:tmpl w:val="8974A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54429"/>
    <w:multiLevelType w:val="hybridMultilevel"/>
    <w:tmpl w:val="2270AA6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880289"/>
    <w:multiLevelType w:val="multilevel"/>
    <w:tmpl w:val="C84485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75B44E7E"/>
    <w:multiLevelType w:val="hybridMultilevel"/>
    <w:tmpl w:val="CD0A70D8"/>
    <w:lvl w:ilvl="0" w:tplc="3C40AEC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98812753">
    <w:abstractNumId w:val="7"/>
  </w:num>
  <w:num w:numId="2" w16cid:durableId="82411514">
    <w:abstractNumId w:val="9"/>
  </w:num>
  <w:num w:numId="3" w16cid:durableId="1348099486">
    <w:abstractNumId w:val="10"/>
  </w:num>
  <w:num w:numId="4" w16cid:durableId="1544362318">
    <w:abstractNumId w:val="5"/>
  </w:num>
  <w:num w:numId="5" w16cid:durableId="378356879">
    <w:abstractNumId w:val="11"/>
  </w:num>
  <w:num w:numId="6" w16cid:durableId="116604632">
    <w:abstractNumId w:val="12"/>
  </w:num>
  <w:num w:numId="7" w16cid:durableId="1707678738">
    <w:abstractNumId w:val="0"/>
  </w:num>
  <w:num w:numId="8" w16cid:durableId="1597708273">
    <w:abstractNumId w:val="13"/>
  </w:num>
  <w:num w:numId="9" w16cid:durableId="400644877">
    <w:abstractNumId w:val="15"/>
  </w:num>
  <w:num w:numId="10" w16cid:durableId="1158501056">
    <w:abstractNumId w:val="6"/>
  </w:num>
  <w:num w:numId="11" w16cid:durableId="936015782">
    <w:abstractNumId w:val="4"/>
  </w:num>
  <w:num w:numId="12" w16cid:durableId="1478452158">
    <w:abstractNumId w:val="14"/>
  </w:num>
  <w:num w:numId="13" w16cid:durableId="1102529810">
    <w:abstractNumId w:val="1"/>
  </w:num>
  <w:num w:numId="14" w16cid:durableId="1559852604">
    <w:abstractNumId w:val="17"/>
  </w:num>
  <w:num w:numId="15" w16cid:durableId="1615597716">
    <w:abstractNumId w:val="8"/>
  </w:num>
  <w:num w:numId="16" w16cid:durableId="1855537886">
    <w:abstractNumId w:val="16"/>
  </w:num>
  <w:num w:numId="17" w16cid:durableId="1606108896">
    <w:abstractNumId w:val="3"/>
  </w:num>
  <w:num w:numId="18" w16cid:durableId="354231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E7"/>
    <w:rsid w:val="0000021E"/>
    <w:rsid w:val="00002CFE"/>
    <w:rsid w:val="000043B5"/>
    <w:rsid w:val="000047D0"/>
    <w:rsid w:val="00006472"/>
    <w:rsid w:val="000107E3"/>
    <w:rsid w:val="00011178"/>
    <w:rsid w:val="0001164C"/>
    <w:rsid w:val="00011752"/>
    <w:rsid w:val="00012BC3"/>
    <w:rsid w:val="00013F38"/>
    <w:rsid w:val="0001499C"/>
    <w:rsid w:val="00016C48"/>
    <w:rsid w:val="000171E0"/>
    <w:rsid w:val="000219BA"/>
    <w:rsid w:val="00025B31"/>
    <w:rsid w:val="00030664"/>
    <w:rsid w:val="00032223"/>
    <w:rsid w:val="00032F28"/>
    <w:rsid w:val="000344FC"/>
    <w:rsid w:val="000348CB"/>
    <w:rsid w:val="00037391"/>
    <w:rsid w:val="00037A5E"/>
    <w:rsid w:val="000402F3"/>
    <w:rsid w:val="00040BDD"/>
    <w:rsid w:val="000419FE"/>
    <w:rsid w:val="000436C6"/>
    <w:rsid w:val="00044B31"/>
    <w:rsid w:val="000458FD"/>
    <w:rsid w:val="0004616A"/>
    <w:rsid w:val="00050805"/>
    <w:rsid w:val="00051172"/>
    <w:rsid w:val="000525B0"/>
    <w:rsid w:val="0005270D"/>
    <w:rsid w:val="00054957"/>
    <w:rsid w:val="00055350"/>
    <w:rsid w:val="000558FA"/>
    <w:rsid w:val="00055B44"/>
    <w:rsid w:val="00055CB3"/>
    <w:rsid w:val="000560C1"/>
    <w:rsid w:val="00056197"/>
    <w:rsid w:val="0005627F"/>
    <w:rsid w:val="00056941"/>
    <w:rsid w:val="0005746D"/>
    <w:rsid w:val="00057ECA"/>
    <w:rsid w:val="00062B6F"/>
    <w:rsid w:val="00062C8A"/>
    <w:rsid w:val="00063F69"/>
    <w:rsid w:val="00064D4C"/>
    <w:rsid w:val="00065145"/>
    <w:rsid w:val="00065982"/>
    <w:rsid w:val="00065D9E"/>
    <w:rsid w:val="00066E81"/>
    <w:rsid w:val="000708A0"/>
    <w:rsid w:val="00072EF2"/>
    <w:rsid w:val="0007317B"/>
    <w:rsid w:val="00074862"/>
    <w:rsid w:val="00077CD7"/>
    <w:rsid w:val="000817FC"/>
    <w:rsid w:val="0008329D"/>
    <w:rsid w:val="000834E9"/>
    <w:rsid w:val="00090900"/>
    <w:rsid w:val="0009114A"/>
    <w:rsid w:val="000933C7"/>
    <w:rsid w:val="00097A1D"/>
    <w:rsid w:val="000A07F6"/>
    <w:rsid w:val="000A087C"/>
    <w:rsid w:val="000A0956"/>
    <w:rsid w:val="000A0BBC"/>
    <w:rsid w:val="000A26EA"/>
    <w:rsid w:val="000A3594"/>
    <w:rsid w:val="000A558A"/>
    <w:rsid w:val="000A629E"/>
    <w:rsid w:val="000B009F"/>
    <w:rsid w:val="000B0B3D"/>
    <w:rsid w:val="000B244B"/>
    <w:rsid w:val="000B28D7"/>
    <w:rsid w:val="000B32A7"/>
    <w:rsid w:val="000B37B7"/>
    <w:rsid w:val="000B4703"/>
    <w:rsid w:val="000B5F4D"/>
    <w:rsid w:val="000B6403"/>
    <w:rsid w:val="000B6CE7"/>
    <w:rsid w:val="000B7BDD"/>
    <w:rsid w:val="000C0A77"/>
    <w:rsid w:val="000C11AB"/>
    <w:rsid w:val="000C1D47"/>
    <w:rsid w:val="000C259B"/>
    <w:rsid w:val="000C3443"/>
    <w:rsid w:val="000C4D8B"/>
    <w:rsid w:val="000C69F0"/>
    <w:rsid w:val="000D13C5"/>
    <w:rsid w:val="000D1702"/>
    <w:rsid w:val="000D1DDB"/>
    <w:rsid w:val="000D5B6F"/>
    <w:rsid w:val="000D68F6"/>
    <w:rsid w:val="000D6A40"/>
    <w:rsid w:val="000D73CB"/>
    <w:rsid w:val="000D7920"/>
    <w:rsid w:val="000E0B4F"/>
    <w:rsid w:val="000E1939"/>
    <w:rsid w:val="000E2254"/>
    <w:rsid w:val="000E35B3"/>
    <w:rsid w:val="000E3CDA"/>
    <w:rsid w:val="000E6D5E"/>
    <w:rsid w:val="000F1821"/>
    <w:rsid w:val="000F2002"/>
    <w:rsid w:val="000F2511"/>
    <w:rsid w:val="000F4243"/>
    <w:rsid w:val="000F4DEA"/>
    <w:rsid w:val="000F779F"/>
    <w:rsid w:val="000F7F0A"/>
    <w:rsid w:val="00100184"/>
    <w:rsid w:val="001004FE"/>
    <w:rsid w:val="00101529"/>
    <w:rsid w:val="00101FC2"/>
    <w:rsid w:val="00103DE2"/>
    <w:rsid w:val="00106564"/>
    <w:rsid w:val="00106CE3"/>
    <w:rsid w:val="00107955"/>
    <w:rsid w:val="00110AE5"/>
    <w:rsid w:val="0011241C"/>
    <w:rsid w:val="00112D71"/>
    <w:rsid w:val="0011343B"/>
    <w:rsid w:val="00114E7D"/>
    <w:rsid w:val="00117064"/>
    <w:rsid w:val="00120B00"/>
    <w:rsid w:val="00120C44"/>
    <w:rsid w:val="0012232C"/>
    <w:rsid w:val="00122F8D"/>
    <w:rsid w:val="00124211"/>
    <w:rsid w:val="00127A53"/>
    <w:rsid w:val="001302B4"/>
    <w:rsid w:val="0013059D"/>
    <w:rsid w:val="001309DD"/>
    <w:rsid w:val="00130FCB"/>
    <w:rsid w:val="001319BE"/>
    <w:rsid w:val="0013274D"/>
    <w:rsid w:val="0013285A"/>
    <w:rsid w:val="00136781"/>
    <w:rsid w:val="00136E1A"/>
    <w:rsid w:val="00137D67"/>
    <w:rsid w:val="001418E1"/>
    <w:rsid w:val="00142DA4"/>
    <w:rsid w:val="00145304"/>
    <w:rsid w:val="00146009"/>
    <w:rsid w:val="00146D83"/>
    <w:rsid w:val="00147E00"/>
    <w:rsid w:val="00147E48"/>
    <w:rsid w:val="00147F91"/>
    <w:rsid w:val="001515DD"/>
    <w:rsid w:val="00151EB7"/>
    <w:rsid w:val="00152D49"/>
    <w:rsid w:val="00154523"/>
    <w:rsid w:val="00154C50"/>
    <w:rsid w:val="0015609C"/>
    <w:rsid w:val="001560A3"/>
    <w:rsid w:val="00156BDC"/>
    <w:rsid w:val="001609E0"/>
    <w:rsid w:val="001668BF"/>
    <w:rsid w:val="00166C31"/>
    <w:rsid w:val="00167707"/>
    <w:rsid w:val="00167796"/>
    <w:rsid w:val="001716C4"/>
    <w:rsid w:val="0017208F"/>
    <w:rsid w:val="00174829"/>
    <w:rsid w:val="001765A9"/>
    <w:rsid w:val="00176987"/>
    <w:rsid w:val="001802B8"/>
    <w:rsid w:val="0018109B"/>
    <w:rsid w:val="00181788"/>
    <w:rsid w:val="00183C89"/>
    <w:rsid w:val="00183D46"/>
    <w:rsid w:val="00185458"/>
    <w:rsid w:val="00185DD2"/>
    <w:rsid w:val="001867F6"/>
    <w:rsid w:val="00186D9F"/>
    <w:rsid w:val="001901B6"/>
    <w:rsid w:val="00191A21"/>
    <w:rsid w:val="00191EBE"/>
    <w:rsid w:val="00192205"/>
    <w:rsid w:val="00193273"/>
    <w:rsid w:val="001933D3"/>
    <w:rsid w:val="001945F3"/>
    <w:rsid w:val="001948CD"/>
    <w:rsid w:val="00195AB4"/>
    <w:rsid w:val="00196C5E"/>
    <w:rsid w:val="00197F37"/>
    <w:rsid w:val="001A00FF"/>
    <w:rsid w:val="001A0B00"/>
    <w:rsid w:val="001A1179"/>
    <w:rsid w:val="001A1C53"/>
    <w:rsid w:val="001A1E19"/>
    <w:rsid w:val="001A2AB8"/>
    <w:rsid w:val="001A3090"/>
    <w:rsid w:val="001B0BB9"/>
    <w:rsid w:val="001B0EC5"/>
    <w:rsid w:val="001B1197"/>
    <w:rsid w:val="001B160B"/>
    <w:rsid w:val="001B1E0C"/>
    <w:rsid w:val="001B1F5D"/>
    <w:rsid w:val="001B360D"/>
    <w:rsid w:val="001B3930"/>
    <w:rsid w:val="001B40B7"/>
    <w:rsid w:val="001B42B9"/>
    <w:rsid w:val="001B5275"/>
    <w:rsid w:val="001B58B4"/>
    <w:rsid w:val="001B6246"/>
    <w:rsid w:val="001B7E77"/>
    <w:rsid w:val="001C08BF"/>
    <w:rsid w:val="001C0F67"/>
    <w:rsid w:val="001C247E"/>
    <w:rsid w:val="001C2773"/>
    <w:rsid w:val="001C4E4A"/>
    <w:rsid w:val="001D0A69"/>
    <w:rsid w:val="001D414B"/>
    <w:rsid w:val="001D4C5D"/>
    <w:rsid w:val="001D5AAA"/>
    <w:rsid w:val="001D5EAB"/>
    <w:rsid w:val="001D652A"/>
    <w:rsid w:val="001D736B"/>
    <w:rsid w:val="001D7F78"/>
    <w:rsid w:val="001E18EA"/>
    <w:rsid w:val="001E206B"/>
    <w:rsid w:val="001E2F43"/>
    <w:rsid w:val="001E3022"/>
    <w:rsid w:val="001E42A6"/>
    <w:rsid w:val="001F04D4"/>
    <w:rsid w:val="001F0B49"/>
    <w:rsid w:val="001F1E79"/>
    <w:rsid w:val="001F332A"/>
    <w:rsid w:val="001F40DA"/>
    <w:rsid w:val="001F44A3"/>
    <w:rsid w:val="001F47E7"/>
    <w:rsid w:val="001F4BB6"/>
    <w:rsid w:val="001F5B25"/>
    <w:rsid w:val="001F7FB8"/>
    <w:rsid w:val="001F7FE3"/>
    <w:rsid w:val="002008B9"/>
    <w:rsid w:val="00201DEE"/>
    <w:rsid w:val="00203426"/>
    <w:rsid w:val="00205FE6"/>
    <w:rsid w:val="002071F0"/>
    <w:rsid w:val="00207FED"/>
    <w:rsid w:val="002115B2"/>
    <w:rsid w:val="00212473"/>
    <w:rsid w:val="00212A15"/>
    <w:rsid w:val="0021315F"/>
    <w:rsid w:val="0021362C"/>
    <w:rsid w:val="0021737F"/>
    <w:rsid w:val="002174E6"/>
    <w:rsid w:val="00217D8B"/>
    <w:rsid w:val="00223B7A"/>
    <w:rsid w:val="0022532D"/>
    <w:rsid w:val="00225362"/>
    <w:rsid w:val="002268B6"/>
    <w:rsid w:val="00227E22"/>
    <w:rsid w:val="002300EB"/>
    <w:rsid w:val="00231AA6"/>
    <w:rsid w:val="00231BCE"/>
    <w:rsid w:val="002320AC"/>
    <w:rsid w:val="00232C1D"/>
    <w:rsid w:val="002334DC"/>
    <w:rsid w:val="00235D82"/>
    <w:rsid w:val="002367FB"/>
    <w:rsid w:val="00236B83"/>
    <w:rsid w:val="002402AB"/>
    <w:rsid w:val="0024054A"/>
    <w:rsid w:val="002411D1"/>
    <w:rsid w:val="002414EE"/>
    <w:rsid w:val="00241F39"/>
    <w:rsid w:val="00244164"/>
    <w:rsid w:val="00244242"/>
    <w:rsid w:val="00244434"/>
    <w:rsid w:val="00245CD7"/>
    <w:rsid w:val="002503CB"/>
    <w:rsid w:val="002508A8"/>
    <w:rsid w:val="00251FE5"/>
    <w:rsid w:val="00252FC7"/>
    <w:rsid w:val="0025398F"/>
    <w:rsid w:val="00253E72"/>
    <w:rsid w:val="00253EBA"/>
    <w:rsid w:val="00256A86"/>
    <w:rsid w:val="00256E51"/>
    <w:rsid w:val="0026031B"/>
    <w:rsid w:val="00260570"/>
    <w:rsid w:val="002611FA"/>
    <w:rsid w:val="00261CC8"/>
    <w:rsid w:val="0026341E"/>
    <w:rsid w:val="00263C05"/>
    <w:rsid w:val="00264753"/>
    <w:rsid w:val="002669A3"/>
    <w:rsid w:val="002675A4"/>
    <w:rsid w:val="002679E3"/>
    <w:rsid w:val="00267CDD"/>
    <w:rsid w:val="00267FD3"/>
    <w:rsid w:val="00270154"/>
    <w:rsid w:val="00270518"/>
    <w:rsid w:val="00270D8B"/>
    <w:rsid w:val="00271630"/>
    <w:rsid w:val="00271D1C"/>
    <w:rsid w:val="0027230C"/>
    <w:rsid w:val="002745C5"/>
    <w:rsid w:val="002749A2"/>
    <w:rsid w:val="00275A5F"/>
    <w:rsid w:val="00276642"/>
    <w:rsid w:val="0027686B"/>
    <w:rsid w:val="00277674"/>
    <w:rsid w:val="00280175"/>
    <w:rsid w:val="00280F77"/>
    <w:rsid w:val="00281E55"/>
    <w:rsid w:val="00284593"/>
    <w:rsid w:val="002903D2"/>
    <w:rsid w:val="00291294"/>
    <w:rsid w:val="00291469"/>
    <w:rsid w:val="00295FDE"/>
    <w:rsid w:val="00296C34"/>
    <w:rsid w:val="0029797F"/>
    <w:rsid w:val="002A014A"/>
    <w:rsid w:val="002A02D4"/>
    <w:rsid w:val="002A06A3"/>
    <w:rsid w:val="002A07AE"/>
    <w:rsid w:val="002A34F8"/>
    <w:rsid w:val="002A4BC9"/>
    <w:rsid w:val="002A507F"/>
    <w:rsid w:val="002A699B"/>
    <w:rsid w:val="002A6BC7"/>
    <w:rsid w:val="002B0993"/>
    <w:rsid w:val="002B1588"/>
    <w:rsid w:val="002B1E9E"/>
    <w:rsid w:val="002B32E4"/>
    <w:rsid w:val="002B569B"/>
    <w:rsid w:val="002B5939"/>
    <w:rsid w:val="002B5DB1"/>
    <w:rsid w:val="002B6B46"/>
    <w:rsid w:val="002B6F60"/>
    <w:rsid w:val="002B7FEA"/>
    <w:rsid w:val="002C1DE5"/>
    <w:rsid w:val="002C339C"/>
    <w:rsid w:val="002C415D"/>
    <w:rsid w:val="002D0740"/>
    <w:rsid w:val="002D0951"/>
    <w:rsid w:val="002D1340"/>
    <w:rsid w:val="002D3095"/>
    <w:rsid w:val="002D30DE"/>
    <w:rsid w:val="002D4A6C"/>
    <w:rsid w:val="002D5003"/>
    <w:rsid w:val="002D5274"/>
    <w:rsid w:val="002D54F5"/>
    <w:rsid w:val="002D5D07"/>
    <w:rsid w:val="002D5F0D"/>
    <w:rsid w:val="002D6742"/>
    <w:rsid w:val="002E15FD"/>
    <w:rsid w:val="002E3CAF"/>
    <w:rsid w:val="002E3DF9"/>
    <w:rsid w:val="002E4B23"/>
    <w:rsid w:val="002E689C"/>
    <w:rsid w:val="002E7EDE"/>
    <w:rsid w:val="002F0BDE"/>
    <w:rsid w:val="002F140A"/>
    <w:rsid w:val="003003B4"/>
    <w:rsid w:val="00302AFA"/>
    <w:rsid w:val="00302F8B"/>
    <w:rsid w:val="00305630"/>
    <w:rsid w:val="003059C0"/>
    <w:rsid w:val="00307168"/>
    <w:rsid w:val="00311436"/>
    <w:rsid w:val="00311E6E"/>
    <w:rsid w:val="00312027"/>
    <w:rsid w:val="00312553"/>
    <w:rsid w:val="00312CA8"/>
    <w:rsid w:val="00313C43"/>
    <w:rsid w:val="00313C6F"/>
    <w:rsid w:val="00313CE7"/>
    <w:rsid w:val="00313F73"/>
    <w:rsid w:val="00314348"/>
    <w:rsid w:val="00321BC5"/>
    <w:rsid w:val="00322764"/>
    <w:rsid w:val="0032327A"/>
    <w:rsid w:val="003246AA"/>
    <w:rsid w:val="003261BF"/>
    <w:rsid w:val="003263DC"/>
    <w:rsid w:val="00327E4E"/>
    <w:rsid w:val="00330115"/>
    <w:rsid w:val="00331341"/>
    <w:rsid w:val="003320E8"/>
    <w:rsid w:val="00332168"/>
    <w:rsid w:val="0033588B"/>
    <w:rsid w:val="0033597A"/>
    <w:rsid w:val="00335ECA"/>
    <w:rsid w:val="00336A40"/>
    <w:rsid w:val="0033734B"/>
    <w:rsid w:val="00337E64"/>
    <w:rsid w:val="00341062"/>
    <w:rsid w:val="00342870"/>
    <w:rsid w:val="00343940"/>
    <w:rsid w:val="00344CE9"/>
    <w:rsid w:val="0034790F"/>
    <w:rsid w:val="00347A4A"/>
    <w:rsid w:val="00347C07"/>
    <w:rsid w:val="003516E0"/>
    <w:rsid w:val="003532C2"/>
    <w:rsid w:val="00353A45"/>
    <w:rsid w:val="00353E29"/>
    <w:rsid w:val="0035406C"/>
    <w:rsid w:val="00354114"/>
    <w:rsid w:val="0035599E"/>
    <w:rsid w:val="00355AB7"/>
    <w:rsid w:val="00355EAF"/>
    <w:rsid w:val="003608D6"/>
    <w:rsid w:val="00361721"/>
    <w:rsid w:val="0036208B"/>
    <w:rsid w:val="00363248"/>
    <w:rsid w:val="00363505"/>
    <w:rsid w:val="003641BD"/>
    <w:rsid w:val="00370D76"/>
    <w:rsid w:val="00371966"/>
    <w:rsid w:val="00372B50"/>
    <w:rsid w:val="00375AC3"/>
    <w:rsid w:val="00375B6D"/>
    <w:rsid w:val="00376945"/>
    <w:rsid w:val="00376947"/>
    <w:rsid w:val="00376DAD"/>
    <w:rsid w:val="00377263"/>
    <w:rsid w:val="00377C74"/>
    <w:rsid w:val="00380884"/>
    <w:rsid w:val="003810CE"/>
    <w:rsid w:val="003815FD"/>
    <w:rsid w:val="00382026"/>
    <w:rsid w:val="00382DEB"/>
    <w:rsid w:val="00383B72"/>
    <w:rsid w:val="00384C66"/>
    <w:rsid w:val="00385E91"/>
    <w:rsid w:val="0038605A"/>
    <w:rsid w:val="0038612E"/>
    <w:rsid w:val="00387FC8"/>
    <w:rsid w:val="003921A0"/>
    <w:rsid w:val="00394090"/>
    <w:rsid w:val="00394E3E"/>
    <w:rsid w:val="00396CBB"/>
    <w:rsid w:val="0039782C"/>
    <w:rsid w:val="00397EC7"/>
    <w:rsid w:val="003A2AFE"/>
    <w:rsid w:val="003A548A"/>
    <w:rsid w:val="003A7D6A"/>
    <w:rsid w:val="003A7E5F"/>
    <w:rsid w:val="003B0347"/>
    <w:rsid w:val="003B1FAC"/>
    <w:rsid w:val="003B27E9"/>
    <w:rsid w:val="003B3001"/>
    <w:rsid w:val="003B34EA"/>
    <w:rsid w:val="003B4413"/>
    <w:rsid w:val="003B5EA9"/>
    <w:rsid w:val="003B6270"/>
    <w:rsid w:val="003C4FB6"/>
    <w:rsid w:val="003C5578"/>
    <w:rsid w:val="003D00C7"/>
    <w:rsid w:val="003D0253"/>
    <w:rsid w:val="003D10DA"/>
    <w:rsid w:val="003D1B61"/>
    <w:rsid w:val="003D3232"/>
    <w:rsid w:val="003D4DE1"/>
    <w:rsid w:val="003D5B95"/>
    <w:rsid w:val="003D6297"/>
    <w:rsid w:val="003E044D"/>
    <w:rsid w:val="003E2AEF"/>
    <w:rsid w:val="003E3F02"/>
    <w:rsid w:val="003E4F84"/>
    <w:rsid w:val="003E58A1"/>
    <w:rsid w:val="003F094C"/>
    <w:rsid w:val="003F0C03"/>
    <w:rsid w:val="003F10C9"/>
    <w:rsid w:val="003F4B34"/>
    <w:rsid w:val="003F4C79"/>
    <w:rsid w:val="003F5773"/>
    <w:rsid w:val="003F6505"/>
    <w:rsid w:val="003F6562"/>
    <w:rsid w:val="003F6AFE"/>
    <w:rsid w:val="003F7220"/>
    <w:rsid w:val="00400FD5"/>
    <w:rsid w:val="00402426"/>
    <w:rsid w:val="004061CB"/>
    <w:rsid w:val="00406311"/>
    <w:rsid w:val="00407C3F"/>
    <w:rsid w:val="004105CE"/>
    <w:rsid w:val="00412D3F"/>
    <w:rsid w:val="004138A4"/>
    <w:rsid w:val="004138F1"/>
    <w:rsid w:val="00415B57"/>
    <w:rsid w:val="00420500"/>
    <w:rsid w:val="00420EE0"/>
    <w:rsid w:val="00423FF6"/>
    <w:rsid w:val="004249F4"/>
    <w:rsid w:val="0042657E"/>
    <w:rsid w:val="004335EB"/>
    <w:rsid w:val="00433CFD"/>
    <w:rsid w:val="00436E02"/>
    <w:rsid w:val="00441BD6"/>
    <w:rsid w:val="00443162"/>
    <w:rsid w:val="00444BFE"/>
    <w:rsid w:val="00446A34"/>
    <w:rsid w:val="00450073"/>
    <w:rsid w:val="004503F2"/>
    <w:rsid w:val="00451097"/>
    <w:rsid w:val="00452469"/>
    <w:rsid w:val="00453859"/>
    <w:rsid w:val="00456DB1"/>
    <w:rsid w:val="004571C4"/>
    <w:rsid w:val="00460015"/>
    <w:rsid w:val="00461729"/>
    <w:rsid w:val="004627AD"/>
    <w:rsid w:val="00463206"/>
    <w:rsid w:val="00463D0D"/>
    <w:rsid w:val="00464330"/>
    <w:rsid w:val="00464741"/>
    <w:rsid w:val="0046580C"/>
    <w:rsid w:val="004674C8"/>
    <w:rsid w:val="00467DCE"/>
    <w:rsid w:val="004706D8"/>
    <w:rsid w:val="0047139A"/>
    <w:rsid w:val="00471F85"/>
    <w:rsid w:val="0047317C"/>
    <w:rsid w:val="004757EA"/>
    <w:rsid w:val="00475C2A"/>
    <w:rsid w:val="00475D83"/>
    <w:rsid w:val="00476994"/>
    <w:rsid w:val="00477AE2"/>
    <w:rsid w:val="00480F0C"/>
    <w:rsid w:val="0048121B"/>
    <w:rsid w:val="004815DD"/>
    <w:rsid w:val="00483E31"/>
    <w:rsid w:val="0048403A"/>
    <w:rsid w:val="00484D85"/>
    <w:rsid w:val="00485C0A"/>
    <w:rsid w:val="00486F49"/>
    <w:rsid w:val="00493074"/>
    <w:rsid w:val="00494019"/>
    <w:rsid w:val="004953B4"/>
    <w:rsid w:val="004958B0"/>
    <w:rsid w:val="00497B6E"/>
    <w:rsid w:val="004A0E9A"/>
    <w:rsid w:val="004A2939"/>
    <w:rsid w:val="004A2A61"/>
    <w:rsid w:val="004A3811"/>
    <w:rsid w:val="004B0B37"/>
    <w:rsid w:val="004B1098"/>
    <w:rsid w:val="004B51CD"/>
    <w:rsid w:val="004B5D7D"/>
    <w:rsid w:val="004B6B6D"/>
    <w:rsid w:val="004B7F86"/>
    <w:rsid w:val="004C01DC"/>
    <w:rsid w:val="004C0E91"/>
    <w:rsid w:val="004C190C"/>
    <w:rsid w:val="004C1C92"/>
    <w:rsid w:val="004C213F"/>
    <w:rsid w:val="004C293F"/>
    <w:rsid w:val="004C328B"/>
    <w:rsid w:val="004C3867"/>
    <w:rsid w:val="004C3C8E"/>
    <w:rsid w:val="004C3DE6"/>
    <w:rsid w:val="004C4F5D"/>
    <w:rsid w:val="004C68F5"/>
    <w:rsid w:val="004C7187"/>
    <w:rsid w:val="004D07A0"/>
    <w:rsid w:val="004D1448"/>
    <w:rsid w:val="004D1DDC"/>
    <w:rsid w:val="004D2353"/>
    <w:rsid w:val="004D23D7"/>
    <w:rsid w:val="004D258F"/>
    <w:rsid w:val="004D28CB"/>
    <w:rsid w:val="004D3E55"/>
    <w:rsid w:val="004D4B3D"/>
    <w:rsid w:val="004D7239"/>
    <w:rsid w:val="004D7D5D"/>
    <w:rsid w:val="004E04A9"/>
    <w:rsid w:val="004E0C75"/>
    <w:rsid w:val="004E14E4"/>
    <w:rsid w:val="004E171A"/>
    <w:rsid w:val="004E1D59"/>
    <w:rsid w:val="004E42ED"/>
    <w:rsid w:val="004E4510"/>
    <w:rsid w:val="004E5061"/>
    <w:rsid w:val="004E5342"/>
    <w:rsid w:val="004E593F"/>
    <w:rsid w:val="004E71A8"/>
    <w:rsid w:val="004F131F"/>
    <w:rsid w:val="004F7820"/>
    <w:rsid w:val="004F7BE8"/>
    <w:rsid w:val="00500031"/>
    <w:rsid w:val="005012FF"/>
    <w:rsid w:val="00501F69"/>
    <w:rsid w:val="0050268D"/>
    <w:rsid w:val="00502FB6"/>
    <w:rsid w:val="00503129"/>
    <w:rsid w:val="005042D6"/>
    <w:rsid w:val="00504F13"/>
    <w:rsid w:val="005103DD"/>
    <w:rsid w:val="005105CD"/>
    <w:rsid w:val="005115D4"/>
    <w:rsid w:val="00512261"/>
    <w:rsid w:val="00512495"/>
    <w:rsid w:val="00514EAC"/>
    <w:rsid w:val="00515637"/>
    <w:rsid w:val="005158EC"/>
    <w:rsid w:val="005161E7"/>
    <w:rsid w:val="0051683F"/>
    <w:rsid w:val="00517692"/>
    <w:rsid w:val="005223BA"/>
    <w:rsid w:val="00525AE5"/>
    <w:rsid w:val="0052616E"/>
    <w:rsid w:val="00526367"/>
    <w:rsid w:val="00526F61"/>
    <w:rsid w:val="00532814"/>
    <w:rsid w:val="005333DF"/>
    <w:rsid w:val="00536B23"/>
    <w:rsid w:val="00540D1E"/>
    <w:rsid w:val="00541389"/>
    <w:rsid w:val="005424AC"/>
    <w:rsid w:val="00542567"/>
    <w:rsid w:val="00542C5F"/>
    <w:rsid w:val="00543022"/>
    <w:rsid w:val="00543357"/>
    <w:rsid w:val="00544507"/>
    <w:rsid w:val="005455A1"/>
    <w:rsid w:val="00545A61"/>
    <w:rsid w:val="00545FE9"/>
    <w:rsid w:val="005500F9"/>
    <w:rsid w:val="00551B8D"/>
    <w:rsid w:val="00555412"/>
    <w:rsid w:val="00555572"/>
    <w:rsid w:val="00555A62"/>
    <w:rsid w:val="005563B4"/>
    <w:rsid w:val="00556BA8"/>
    <w:rsid w:val="00560AEE"/>
    <w:rsid w:val="005611FD"/>
    <w:rsid w:val="005636A9"/>
    <w:rsid w:val="00563FEF"/>
    <w:rsid w:val="00564003"/>
    <w:rsid w:val="0056466A"/>
    <w:rsid w:val="00564806"/>
    <w:rsid w:val="005654CD"/>
    <w:rsid w:val="00565560"/>
    <w:rsid w:val="00565BC6"/>
    <w:rsid w:val="00565CAE"/>
    <w:rsid w:val="0056632D"/>
    <w:rsid w:val="00566FD3"/>
    <w:rsid w:val="00570F90"/>
    <w:rsid w:val="00571D63"/>
    <w:rsid w:val="00572777"/>
    <w:rsid w:val="00572F24"/>
    <w:rsid w:val="005730FD"/>
    <w:rsid w:val="00573105"/>
    <w:rsid w:val="005744FB"/>
    <w:rsid w:val="005750FD"/>
    <w:rsid w:val="00575916"/>
    <w:rsid w:val="00575AFE"/>
    <w:rsid w:val="00576CD2"/>
    <w:rsid w:val="00577004"/>
    <w:rsid w:val="00580825"/>
    <w:rsid w:val="00582627"/>
    <w:rsid w:val="00582A31"/>
    <w:rsid w:val="00585955"/>
    <w:rsid w:val="00587BC8"/>
    <w:rsid w:val="00590385"/>
    <w:rsid w:val="00590402"/>
    <w:rsid w:val="0059079B"/>
    <w:rsid w:val="00593621"/>
    <w:rsid w:val="00595424"/>
    <w:rsid w:val="00596B9F"/>
    <w:rsid w:val="00597481"/>
    <w:rsid w:val="00597C79"/>
    <w:rsid w:val="005A0B78"/>
    <w:rsid w:val="005A0FE3"/>
    <w:rsid w:val="005A217C"/>
    <w:rsid w:val="005A2996"/>
    <w:rsid w:val="005A317D"/>
    <w:rsid w:val="005A3849"/>
    <w:rsid w:val="005A3BEE"/>
    <w:rsid w:val="005A7AD5"/>
    <w:rsid w:val="005B10B6"/>
    <w:rsid w:val="005B2F30"/>
    <w:rsid w:val="005B38F9"/>
    <w:rsid w:val="005B41B7"/>
    <w:rsid w:val="005B6AB1"/>
    <w:rsid w:val="005B6EB6"/>
    <w:rsid w:val="005B789B"/>
    <w:rsid w:val="005C0E14"/>
    <w:rsid w:val="005C1192"/>
    <w:rsid w:val="005C1204"/>
    <w:rsid w:val="005C1FCD"/>
    <w:rsid w:val="005C3152"/>
    <w:rsid w:val="005C3C3E"/>
    <w:rsid w:val="005C4161"/>
    <w:rsid w:val="005C5DF4"/>
    <w:rsid w:val="005C63CF"/>
    <w:rsid w:val="005C649E"/>
    <w:rsid w:val="005C6A91"/>
    <w:rsid w:val="005C6BF6"/>
    <w:rsid w:val="005D01D2"/>
    <w:rsid w:val="005D0470"/>
    <w:rsid w:val="005D1FD7"/>
    <w:rsid w:val="005D3442"/>
    <w:rsid w:val="005D4034"/>
    <w:rsid w:val="005D4B3F"/>
    <w:rsid w:val="005D5398"/>
    <w:rsid w:val="005D5BDA"/>
    <w:rsid w:val="005D7621"/>
    <w:rsid w:val="005D7F1E"/>
    <w:rsid w:val="005E1A46"/>
    <w:rsid w:val="005E242A"/>
    <w:rsid w:val="005E3A68"/>
    <w:rsid w:val="005E596B"/>
    <w:rsid w:val="005E5B32"/>
    <w:rsid w:val="005E65F5"/>
    <w:rsid w:val="005E6FAC"/>
    <w:rsid w:val="005F0150"/>
    <w:rsid w:val="005F160B"/>
    <w:rsid w:val="005F1AC2"/>
    <w:rsid w:val="005F235C"/>
    <w:rsid w:val="005F2E03"/>
    <w:rsid w:val="005F4D80"/>
    <w:rsid w:val="005F55DF"/>
    <w:rsid w:val="005F6D68"/>
    <w:rsid w:val="00600254"/>
    <w:rsid w:val="00600740"/>
    <w:rsid w:val="006013F3"/>
    <w:rsid w:val="00605D26"/>
    <w:rsid w:val="00606552"/>
    <w:rsid w:val="00607801"/>
    <w:rsid w:val="00607E3B"/>
    <w:rsid w:val="00610DDA"/>
    <w:rsid w:val="00611FAE"/>
    <w:rsid w:val="006142FE"/>
    <w:rsid w:val="0061488E"/>
    <w:rsid w:val="00616B33"/>
    <w:rsid w:val="00620980"/>
    <w:rsid w:val="00620A47"/>
    <w:rsid w:val="006213DD"/>
    <w:rsid w:val="00621536"/>
    <w:rsid w:val="00621982"/>
    <w:rsid w:val="0062202A"/>
    <w:rsid w:val="00622458"/>
    <w:rsid w:val="006241E8"/>
    <w:rsid w:val="00625212"/>
    <w:rsid w:val="00625B05"/>
    <w:rsid w:val="00626B7F"/>
    <w:rsid w:val="00626C06"/>
    <w:rsid w:val="006272A6"/>
    <w:rsid w:val="00627304"/>
    <w:rsid w:val="0063194C"/>
    <w:rsid w:val="00632BA0"/>
    <w:rsid w:val="00635E8D"/>
    <w:rsid w:val="00635FCC"/>
    <w:rsid w:val="00637269"/>
    <w:rsid w:val="00640024"/>
    <w:rsid w:val="00640E71"/>
    <w:rsid w:val="00641111"/>
    <w:rsid w:val="0064117B"/>
    <w:rsid w:val="00641189"/>
    <w:rsid w:val="0064176D"/>
    <w:rsid w:val="006421E0"/>
    <w:rsid w:val="00642859"/>
    <w:rsid w:val="00642FBE"/>
    <w:rsid w:val="0064378E"/>
    <w:rsid w:val="00643F55"/>
    <w:rsid w:val="00644D55"/>
    <w:rsid w:val="006464D7"/>
    <w:rsid w:val="00646E60"/>
    <w:rsid w:val="00650411"/>
    <w:rsid w:val="00650876"/>
    <w:rsid w:val="006537EF"/>
    <w:rsid w:val="0065425A"/>
    <w:rsid w:val="00655FF3"/>
    <w:rsid w:val="00656A08"/>
    <w:rsid w:val="00656A3B"/>
    <w:rsid w:val="00660872"/>
    <w:rsid w:val="006646CC"/>
    <w:rsid w:val="0066654F"/>
    <w:rsid w:val="00666909"/>
    <w:rsid w:val="00667293"/>
    <w:rsid w:val="006705FB"/>
    <w:rsid w:val="00670B96"/>
    <w:rsid w:val="00672218"/>
    <w:rsid w:val="00672537"/>
    <w:rsid w:val="006729B6"/>
    <w:rsid w:val="00674D69"/>
    <w:rsid w:val="006760F6"/>
    <w:rsid w:val="006772C9"/>
    <w:rsid w:val="00677AFA"/>
    <w:rsid w:val="00680865"/>
    <w:rsid w:val="00682A35"/>
    <w:rsid w:val="00683955"/>
    <w:rsid w:val="00685889"/>
    <w:rsid w:val="0068684F"/>
    <w:rsid w:val="0069187B"/>
    <w:rsid w:val="006918CC"/>
    <w:rsid w:val="006922EE"/>
    <w:rsid w:val="00692B9F"/>
    <w:rsid w:val="00695B8C"/>
    <w:rsid w:val="00696485"/>
    <w:rsid w:val="00697635"/>
    <w:rsid w:val="006A17F7"/>
    <w:rsid w:val="006A1E62"/>
    <w:rsid w:val="006A20F7"/>
    <w:rsid w:val="006A2DB6"/>
    <w:rsid w:val="006A3D2A"/>
    <w:rsid w:val="006A5E64"/>
    <w:rsid w:val="006A633D"/>
    <w:rsid w:val="006B0361"/>
    <w:rsid w:val="006B1AF3"/>
    <w:rsid w:val="006B4CD9"/>
    <w:rsid w:val="006B65C5"/>
    <w:rsid w:val="006B78C8"/>
    <w:rsid w:val="006B793B"/>
    <w:rsid w:val="006C1788"/>
    <w:rsid w:val="006C2972"/>
    <w:rsid w:val="006C4CFB"/>
    <w:rsid w:val="006C59A2"/>
    <w:rsid w:val="006C59EA"/>
    <w:rsid w:val="006C774B"/>
    <w:rsid w:val="006D0E15"/>
    <w:rsid w:val="006D2042"/>
    <w:rsid w:val="006D2978"/>
    <w:rsid w:val="006D4321"/>
    <w:rsid w:val="006D434B"/>
    <w:rsid w:val="006D64BF"/>
    <w:rsid w:val="006D64FC"/>
    <w:rsid w:val="006D6AC8"/>
    <w:rsid w:val="006D6B0E"/>
    <w:rsid w:val="006D723C"/>
    <w:rsid w:val="006D76A6"/>
    <w:rsid w:val="006E1220"/>
    <w:rsid w:val="006E2419"/>
    <w:rsid w:val="006E4714"/>
    <w:rsid w:val="006E5AF6"/>
    <w:rsid w:val="006E6057"/>
    <w:rsid w:val="006E7ED0"/>
    <w:rsid w:val="006F1D28"/>
    <w:rsid w:val="006F2390"/>
    <w:rsid w:val="006F25DD"/>
    <w:rsid w:val="006F2BC5"/>
    <w:rsid w:val="006F39BA"/>
    <w:rsid w:val="006F3F63"/>
    <w:rsid w:val="006F4623"/>
    <w:rsid w:val="006F515B"/>
    <w:rsid w:val="006F55DA"/>
    <w:rsid w:val="006F5726"/>
    <w:rsid w:val="006F5C88"/>
    <w:rsid w:val="0070040F"/>
    <w:rsid w:val="00700FE8"/>
    <w:rsid w:val="00701117"/>
    <w:rsid w:val="00702C30"/>
    <w:rsid w:val="007039F5"/>
    <w:rsid w:val="007044CB"/>
    <w:rsid w:val="00705DB9"/>
    <w:rsid w:val="00706585"/>
    <w:rsid w:val="007117B2"/>
    <w:rsid w:val="00712D43"/>
    <w:rsid w:val="00713077"/>
    <w:rsid w:val="0071400C"/>
    <w:rsid w:val="00714477"/>
    <w:rsid w:val="007156C5"/>
    <w:rsid w:val="00716313"/>
    <w:rsid w:val="007163EB"/>
    <w:rsid w:val="0071777E"/>
    <w:rsid w:val="00717A85"/>
    <w:rsid w:val="00720343"/>
    <w:rsid w:val="007203E5"/>
    <w:rsid w:val="00720FC7"/>
    <w:rsid w:val="007211D4"/>
    <w:rsid w:val="00721242"/>
    <w:rsid w:val="00721E81"/>
    <w:rsid w:val="00721EA3"/>
    <w:rsid w:val="00722248"/>
    <w:rsid w:val="007226F4"/>
    <w:rsid w:val="00724653"/>
    <w:rsid w:val="007249F4"/>
    <w:rsid w:val="007270A2"/>
    <w:rsid w:val="00731BE4"/>
    <w:rsid w:val="00732C0B"/>
    <w:rsid w:val="00732D15"/>
    <w:rsid w:val="0073372C"/>
    <w:rsid w:val="0073439C"/>
    <w:rsid w:val="0073664D"/>
    <w:rsid w:val="007371B6"/>
    <w:rsid w:val="00737B2F"/>
    <w:rsid w:val="00737DBA"/>
    <w:rsid w:val="00741B5B"/>
    <w:rsid w:val="00741CC2"/>
    <w:rsid w:val="007428DA"/>
    <w:rsid w:val="00742AC9"/>
    <w:rsid w:val="007431BA"/>
    <w:rsid w:val="007437DB"/>
    <w:rsid w:val="00743F16"/>
    <w:rsid w:val="00745882"/>
    <w:rsid w:val="007467D3"/>
    <w:rsid w:val="00746CF5"/>
    <w:rsid w:val="0074713E"/>
    <w:rsid w:val="00751E73"/>
    <w:rsid w:val="0075218D"/>
    <w:rsid w:val="00753576"/>
    <w:rsid w:val="0075367B"/>
    <w:rsid w:val="00760133"/>
    <w:rsid w:val="00763967"/>
    <w:rsid w:val="00763CE1"/>
    <w:rsid w:val="00764618"/>
    <w:rsid w:val="007650DC"/>
    <w:rsid w:val="00765FA3"/>
    <w:rsid w:val="007667EC"/>
    <w:rsid w:val="007675E4"/>
    <w:rsid w:val="007702EA"/>
    <w:rsid w:val="007706BD"/>
    <w:rsid w:val="00770719"/>
    <w:rsid w:val="00771BEE"/>
    <w:rsid w:val="00772BAC"/>
    <w:rsid w:val="00775B84"/>
    <w:rsid w:val="0077680A"/>
    <w:rsid w:val="00776B45"/>
    <w:rsid w:val="00777C0E"/>
    <w:rsid w:val="0078027A"/>
    <w:rsid w:val="00781C12"/>
    <w:rsid w:val="00782A71"/>
    <w:rsid w:val="00783F02"/>
    <w:rsid w:val="00784AB4"/>
    <w:rsid w:val="00785819"/>
    <w:rsid w:val="0078705E"/>
    <w:rsid w:val="00791356"/>
    <w:rsid w:val="0079173D"/>
    <w:rsid w:val="00791BE7"/>
    <w:rsid w:val="0079490B"/>
    <w:rsid w:val="0079559E"/>
    <w:rsid w:val="007971C3"/>
    <w:rsid w:val="00797DFA"/>
    <w:rsid w:val="007A0BFD"/>
    <w:rsid w:val="007A1162"/>
    <w:rsid w:val="007A11E6"/>
    <w:rsid w:val="007A16ED"/>
    <w:rsid w:val="007A4676"/>
    <w:rsid w:val="007A5997"/>
    <w:rsid w:val="007A7CE3"/>
    <w:rsid w:val="007B1D92"/>
    <w:rsid w:val="007B1E35"/>
    <w:rsid w:val="007B24D2"/>
    <w:rsid w:val="007B2961"/>
    <w:rsid w:val="007B29EE"/>
    <w:rsid w:val="007B4D6B"/>
    <w:rsid w:val="007B68D0"/>
    <w:rsid w:val="007B7644"/>
    <w:rsid w:val="007B77FA"/>
    <w:rsid w:val="007C247C"/>
    <w:rsid w:val="007C344F"/>
    <w:rsid w:val="007C3AD1"/>
    <w:rsid w:val="007C3E88"/>
    <w:rsid w:val="007C44CF"/>
    <w:rsid w:val="007C7D1D"/>
    <w:rsid w:val="007D0A8F"/>
    <w:rsid w:val="007D20AB"/>
    <w:rsid w:val="007D284B"/>
    <w:rsid w:val="007D3D16"/>
    <w:rsid w:val="007D50CF"/>
    <w:rsid w:val="007D531D"/>
    <w:rsid w:val="007D7ABB"/>
    <w:rsid w:val="007E0E34"/>
    <w:rsid w:val="007E0E60"/>
    <w:rsid w:val="007E1663"/>
    <w:rsid w:val="007E2882"/>
    <w:rsid w:val="007E28BD"/>
    <w:rsid w:val="007E516B"/>
    <w:rsid w:val="007F0F7C"/>
    <w:rsid w:val="007F189E"/>
    <w:rsid w:val="007F2136"/>
    <w:rsid w:val="007F2309"/>
    <w:rsid w:val="007F51ED"/>
    <w:rsid w:val="007F53BC"/>
    <w:rsid w:val="007F5528"/>
    <w:rsid w:val="00802120"/>
    <w:rsid w:val="00802D03"/>
    <w:rsid w:val="00803188"/>
    <w:rsid w:val="00803A6E"/>
    <w:rsid w:val="00803BA8"/>
    <w:rsid w:val="008046DF"/>
    <w:rsid w:val="00804AAC"/>
    <w:rsid w:val="008066F6"/>
    <w:rsid w:val="00806E53"/>
    <w:rsid w:val="00812EEE"/>
    <w:rsid w:val="00814618"/>
    <w:rsid w:val="008150E2"/>
    <w:rsid w:val="00816B20"/>
    <w:rsid w:val="00816E95"/>
    <w:rsid w:val="008206D0"/>
    <w:rsid w:val="008209DC"/>
    <w:rsid w:val="00821A81"/>
    <w:rsid w:val="00823B80"/>
    <w:rsid w:val="008245B3"/>
    <w:rsid w:val="008251F6"/>
    <w:rsid w:val="0082648C"/>
    <w:rsid w:val="00830003"/>
    <w:rsid w:val="00832DAA"/>
    <w:rsid w:val="00832E25"/>
    <w:rsid w:val="008334B7"/>
    <w:rsid w:val="00835A71"/>
    <w:rsid w:val="00836303"/>
    <w:rsid w:val="0083682F"/>
    <w:rsid w:val="008368A7"/>
    <w:rsid w:val="00837A9A"/>
    <w:rsid w:val="008405E2"/>
    <w:rsid w:val="008409C3"/>
    <w:rsid w:val="00840F97"/>
    <w:rsid w:val="008417FE"/>
    <w:rsid w:val="00844A01"/>
    <w:rsid w:val="008454A6"/>
    <w:rsid w:val="00845CD0"/>
    <w:rsid w:val="00845E77"/>
    <w:rsid w:val="008463F8"/>
    <w:rsid w:val="00846C8F"/>
    <w:rsid w:val="008479DA"/>
    <w:rsid w:val="00850A97"/>
    <w:rsid w:val="00851344"/>
    <w:rsid w:val="0085169D"/>
    <w:rsid w:val="00851907"/>
    <w:rsid w:val="00853225"/>
    <w:rsid w:val="00857CA3"/>
    <w:rsid w:val="00857CC7"/>
    <w:rsid w:val="00865A32"/>
    <w:rsid w:val="008753A6"/>
    <w:rsid w:val="00877BD7"/>
    <w:rsid w:val="00877F19"/>
    <w:rsid w:val="00880965"/>
    <w:rsid w:val="008812C6"/>
    <w:rsid w:val="008831B2"/>
    <w:rsid w:val="00883D1D"/>
    <w:rsid w:val="00885979"/>
    <w:rsid w:val="00886D4D"/>
    <w:rsid w:val="008872E3"/>
    <w:rsid w:val="008875B9"/>
    <w:rsid w:val="0088799D"/>
    <w:rsid w:val="00887DF1"/>
    <w:rsid w:val="00891629"/>
    <w:rsid w:val="00892C8E"/>
    <w:rsid w:val="008944D4"/>
    <w:rsid w:val="00894E52"/>
    <w:rsid w:val="00895420"/>
    <w:rsid w:val="00896D7A"/>
    <w:rsid w:val="00897DA9"/>
    <w:rsid w:val="008A0306"/>
    <w:rsid w:val="008A0C66"/>
    <w:rsid w:val="008A1178"/>
    <w:rsid w:val="008A261D"/>
    <w:rsid w:val="008A45EC"/>
    <w:rsid w:val="008A5A88"/>
    <w:rsid w:val="008A61AE"/>
    <w:rsid w:val="008B0902"/>
    <w:rsid w:val="008B101A"/>
    <w:rsid w:val="008B189B"/>
    <w:rsid w:val="008B18A7"/>
    <w:rsid w:val="008B18FD"/>
    <w:rsid w:val="008B25DE"/>
    <w:rsid w:val="008B3216"/>
    <w:rsid w:val="008B34F3"/>
    <w:rsid w:val="008B35A4"/>
    <w:rsid w:val="008B3F09"/>
    <w:rsid w:val="008B4B5A"/>
    <w:rsid w:val="008B50F3"/>
    <w:rsid w:val="008B51FA"/>
    <w:rsid w:val="008B5D3C"/>
    <w:rsid w:val="008B7167"/>
    <w:rsid w:val="008C21D2"/>
    <w:rsid w:val="008D06DF"/>
    <w:rsid w:val="008D0C68"/>
    <w:rsid w:val="008D216C"/>
    <w:rsid w:val="008D2BA9"/>
    <w:rsid w:val="008D3119"/>
    <w:rsid w:val="008D32EB"/>
    <w:rsid w:val="008D3D2C"/>
    <w:rsid w:val="008D4D89"/>
    <w:rsid w:val="008D509F"/>
    <w:rsid w:val="008D55E1"/>
    <w:rsid w:val="008D6189"/>
    <w:rsid w:val="008D6916"/>
    <w:rsid w:val="008D765B"/>
    <w:rsid w:val="008E04C0"/>
    <w:rsid w:val="008E0CEB"/>
    <w:rsid w:val="008E3E5F"/>
    <w:rsid w:val="008E4D7D"/>
    <w:rsid w:val="008F0297"/>
    <w:rsid w:val="008F0E73"/>
    <w:rsid w:val="008F3852"/>
    <w:rsid w:val="008F3A51"/>
    <w:rsid w:val="008F4548"/>
    <w:rsid w:val="008F55C5"/>
    <w:rsid w:val="008F62B1"/>
    <w:rsid w:val="008F7344"/>
    <w:rsid w:val="009007CD"/>
    <w:rsid w:val="009017BC"/>
    <w:rsid w:val="00901D23"/>
    <w:rsid w:val="00901E54"/>
    <w:rsid w:val="00902973"/>
    <w:rsid w:val="00903539"/>
    <w:rsid w:val="009046AD"/>
    <w:rsid w:val="009060F6"/>
    <w:rsid w:val="00911015"/>
    <w:rsid w:val="00911819"/>
    <w:rsid w:val="00912AC9"/>
    <w:rsid w:val="00920109"/>
    <w:rsid w:val="009208B0"/>
    <w:rsid w:val="0092092F"/>
    <w:rsid w:val="00920BE7"/>
    <w:rsid w:val="00921744"/>
    <w:rsid w:val="00922DD6"/>
    <w:rsid w:val="009234E2"/>
    <w:rsid w:val="00923CC8"/>
    <w:rsid w:val="00924488"/>
    <w:rsid w:val="00924637"/>
    <w:rsid w:val="00924CE8"/>
    <w:rsid w:val="00925177"/>
    <w:rsid w:val="009272C2"/>
    <w:rsid w:val="00927653"/>
    <w:rsid w:val="0092771C"/>
    <w:rsid w:val="0093141A"/>
    <w:rsid w:val="009324F5"/>
    <w:rsid w:val="009331D4"/>
    <w:rsid w:val="00935F2C"/>
    <w:rsid w:val="009369BD"/>
    <w:rsid w:val="00936BC3"/>
    <w:rsid w:val="00937C6E"/>
    <w:rsid w:val="009410E2"/>
    <w:rsid w:val="00944412"/>
    <w:rsid w:val="009462B3"/>
    <w:rsid w:val="00946BF1"/>
    <w:rsid w:val="0094750B"/>
    <w:rsid w:val="009502D3"/>
    <w:rsid w:val="0095181A"/>
    <w:rsid w:val="00952E5D"/>
    <w:rsid w:val="009549BA"/>
    <w:rsid w:val="00956C13"/>
    <w:rsid w:val="009571C9"/>
    <w:rsid w:val="00957438"/>
    <w:rsid w:val="009605BC"/>
    <w:rsid w:val="0096063D"/>
    <w:rsid w:val="00961159"/>
    <w:rsid w:val="00961E1A"/>
    <w:rsid w:val="00964854"/>
    <w:rsid w:val="00964B68"/>
    <w:rsid w:val="00965F14"/>
    <w:rsid w:val="00965F29"/>
    <w:rsid w:val="0096657C"/>
    <w:rsid w:val="00966AEB"/>
    <w:rsid w:val="00967153"/>
    <w:rsid w:val="009678BD"/>
    <w:rsid w:val="00967AEA"/>
    <w:rsid w:val="00971463"/>
    <w:rsid w:val="00972247"/>
    <w:rsid w:val="00972B71"/>
    <w:rsid w:val="00974684"/>
    <w:rsid w:val="00974DD3"/>
    <w:rsid w:val="00976168"/>
    <w:rsid w:val="00976402"/>
    <w:rsid w:val="00976E24"/>
    <w:rsid w:val="00976E81"/>
    <w:rsid w:val="00977315"/>
    <w:rsid w:val="009775D4"/>
    <w:rsid w:val="009777D1"/>
    <w:rsid w:val="00981952"/>
    <w:rsid w:val="009824C5"/>
    <w:rsid w:val="009827B3"/>
    <w:rsid w:val="009829CF"/>
    <w:rsid w:val="00982DCA"/>
    <w:rsid w:val="00984F50"/>
    <w:rsid w:val="009851D8"/>
    <w:rsid w:val="0098675F"/>
    <w:rsid w:val="00986F8E"/>
    <w:rsid w:val="00986FFA"/>
    <w:rsid w:val="009974D0"/>
    <w:rsid w:val="009A1B54"/>
    <w:rsid w:val="009A31CD"/>
    <w:rsid w:val="009A40C1"/>
    <w:rsid w:val="009A438C"/>
    <w:rsid w:val="009A45AC"/>
    <w:rsid w:val="009A6875"/>
    <w:rsid w:val="009A7B42"/>
    <w:rsid w:val="009A7B57"/>
    <w:rsid w:val="009B047F"/>
    <w:rsid w:val="009B0513"/>
    <w:rsid w:val="009B07C2"/>
    <w:rsid w:val="009B0FED"/>
    <w:rsid w:val="009B221A"/>
    <w:rsid w:val="009B480F"/>
    <w:rsid w:val="009B5A4E"/>
    <w:rsid w:val="009B6419"/>
    <w:rsid w:val="009B70CF"/>
    <w:rsid w:val="009B769E"/>
    <w:rsid w:val="009C1100"/>
    <w:rsid w:val="009C1EFE"/>
    <w:rsid w:val="009C2A79"/>
    <w:rsid w:val="009C2E43"/>
    <w:rsid w:val="009C317B"/>
    <w:rsid w:val="009C3A7C"/>
    <w:rsid w:val="009C6A15"/>
    <w:rsid w:val="009D04B1"/>
    <w:rsid w:val="009D0625"/>
    <w:rsid w:val="009D2028"/>
    <w:rsid w:val="009D286F"/>
    <w:rsid w:val="009D2E58"/>
    <w:rsid w:val="009D37DB"/>
    <w:rsid w:val="009D4099"/>
    <w:rsid w:val="009D4440"/>
    <w:rsid w:val="009D44D3"/>
    <w:rsid w:val="009D4CB2"/>
    <w:rsid w:val="009D539E"/>
    <w:rsid w:val="009D5D52"/>
    <w:rsid w:val="009D5E2B"/>
    <w:rsid w:val="009D5F33"/>
    <w:rsid w:val="009E0086"/>
    <w:rsid w:val="009E15D0"/>
    <w:rsid w:val="009E2234"/>
    <w:rsid w:val="009E2B4B"/>
    <w:rsid w:val="009E2E64"/>
    <w:rsid w:val="009E499A"/>
    <w:rsid w:val="009E50A3"/>
    <w:rsid w:val="009E7314"/>
    <w:rsid w:val="009E788C"/>
    <w:rsid w:val="009F0050"/>
    <w:rsid w:val="009F0A65"/>
    <w:rsid w:val="009F124B"/>
    <w:rsid w:val="009F16CA"/>
    <w:rsid w:val="009F264C"/>
    <w:rsid w:val="009F3EA4"/>
    <w:rsid w:val="009F77D2"/>
    <w:rsid w:val="00A010F1"/>
    <w:rsid w:val="00A01515"/>
    <w:rsid w:val="00A04A13"/>
    <w:rsid w:val="00A05A4F"/>
    <w:rsid w:val="00A06E5E"/>
    <w:rsid w:val="00A1082D"/>
    <w:rsid w:val="00A10D89"/>
    <w:rsid w:val="00A10F75"/>
    <w:rsid w:val="00A11B4B"/>
    <w:rsid w:val="00A123AE"/>
    <w:rsid w:val="00A13329"/>
    <w:rsid w:val="00A135B8"/>
    <w:rsid w:val="00A142AF"/>
    <w:rsid w:val="00A144ED"/>
    <w:rsid w:val="00A161A1"/>
    <w:rsid w:val="00A20115"/>
    <w:rsid w:val="00A21350"/>
    <w:rsid w:val="00A22EF7"/>
    <w:rsid w:val="00A23039"/>
    <w:rsid w:val="00A23E9D"/>
    <w:rsid w:val="00A24912"/>
    <w:rsid w:val="00A25D7C"/>
    <w:rsid w:val="00A26696"/>
    <w:rsid w:val="00A26774"/>
    <w:rsid w:val="00A27177"/>
    <w:rsid w:val="00A27492"/>
    <w:rsid w:val="00A277CD"/>
    <w:rsid w:val="00A3090A"/>
    <w:rsid w:val="00A315AA"/>
    <w:rsid w:val="00A31C32"/>
    <w:rsid w:val="00A32066"/>
    <w:rsid w:val="00A32321"/>
    <w:rsid w:val="00A32F84"/>
    <w:rsid w:val="00A34CF8"/>
    <w:rsid w:val="00A35345"/>
    <w:rsid w:val="00A35BF1"/>
    <w:rsid w:val="00A40624"/>
    <w:rsid w:val="00A41804"/>
    <w:rsid w:val="00A41BAB"/>
    <w:rsid w:val="00A41BD8"/>
    <w:rsid w:val="00A41E9B"/>
    <w:rsid w:val="00A42465"/>
    <w:rsid w:val="00A43879"/>
    <w:rsid w:val="00A43C1D"/>
    <w:rsid w:val="00A43EB2"/>
    <w:rsid w:val="00A45A25"/>
    <w:rsid w:val="00A45D1D"/>
    <w:rsid w:val="00A45FD5"/>
    <w:rsid w:val="00A4629B"/>
    <w:rsid w:val="00A46912"/>
    <w:rsid w:val="00A4715D"/>
    <w:rsid w:val="00A51001"/>
    <w:rsid w:val="00A51425"/>
    <w:rsid w:val="00A52261"/>
    <w:rsid w:val="00A52FEC"/>
    <w:rsid w:val="00A540D5"/>
    <w:rsid w:val="00A5642E"/>
    <w:rsid w:val="00A56977"/>
    <w:rsid w:val="00A5780F"/>
    <w:rsid w:val="00A57E2E"/>
    <w:rsid w:val="00A61985"/>
    <w:rsid w:val="00A63196"/>
    <w:rsid w:val="00A63F31"/>
    <w:rsid w:val="00A64AD4"/>
    <w:rsid w:val="00A653F1"/>
    <w:rsid w:val="00A6648A"/>
    <w:rsid w:val="00A66821"/>
    <w:rsid w:val="00A66E8F"/>
    <w:rsid w:val="00A67D1E"/>
    <w:rsid w:val="00A711DC"/>
    <w:rsid w:val="00A72D5C"/>
    <w:rsid w:val="00A72E76"/>
    <w:rsid w:val="00A7530C"/>
    <w:rsid w:val="00A75C6C"/>
    <w:rsid w:val="00A761BA"/>
    <w:rsid w:val="00A766A2"/>
    <w:rsid w:val="00A776E0"/>
    <w:rsid w:val="00A80E3D"/>
    <w:rsid w:val="00A81078"/>
    <w:rsid w:val="00A816A0"/>
    <w:rsid w:val="00A82C36"/>
    <w:rsid w:val="00A8350E"/>
    <w:rsid w:val="00A839CA"/>
    <w:rsid w:val="00A858F5"/>
    <w:rsid w:val="00A8661B"/>
    <w:rsid w:val="00A86AA9"/>
    <w:rsid w:val="00A8773F"/>
    <w:rsid w:val="00A87F45"/>
    <w:rsid w:val="00A90D4A"/>
    <w:rsid w:val="00A911C0"/>
    <w:rsid w:val="00A92771"/>
    <w:rsid w:val="00A92AED"/>
    <w:rsid w:val="00A93CFA"/>
    <w:rsid w:val="00A94278"/>
    <w:rsid w:val="00A94F81"/>
    <w:rsid w:val="00A95172"/>
    <w:rsid w:val="00A952EB"/>
    <w:rsid w:val="00A971B1"/>
    <w:rsid w:val="00A97804"/>
    <w:rsid w:val="00AA0606"/>
    <w:rsid w:val="00AA0E2D"/>
    <w:rsid w:val="00AA0EE9"/>
    <w:rsid w:val="00AA2864"/>
    <w:rsid w:val="00AA3E7E"/>
    <w:rsid w:val="00AA40AD"/>
    <w:rsid w:val="00AA41C9"/>
    <w:rsid w:val="00AA53E5"/>
    <w:rsid w:val="00AA6AEC"/>
    <w:rsid w:val="00AA6C00"/>
    <w:rsid w:val="00AA72C4"/>
    <w:rsid w:val="00AA7406"/>
    <w:rsid w:val="00AB0BAF"/>
    <w:rsid w:val="00AB1A51"/>
    <w:rsid w:val="00AB1DE7"/>
    <w:rsid w:val="00AB2E39"/>
    <w:rsid w:val="00AB37EC"/>
    <w:rsid w:val="00AB3B50"/>
    <w:rsid w:val="00AB541F"/>
    <w:rsid w:val="00AC018F"/>
    <w:rsid w:val="00AC4ED8"/>
    <w:rsid w:val="00AC53DB"/>
    <w:rsid w:val="00AC5D97"/>
    <w:rsid w:val="00AC6D49"/>
    <w:rsid w:val="00AD0738"/>
    <w:rsid w:val="00AD0814"/>
    <w:rsid w:val="00AD1971"/>
    <w:rsid w:val="00AD38A4"/>
    <w:rsid w:val="00AD4BEF"/>
    <w:rsid w:val="00AD5033"/>
    <w:rsid w:val="00AD5AAF"/>
    <w:rsid w:val="00AD632C"/>
    <w:rsid w:val="00AD70CE"/>
    <w:rsid w:val="00AE02A3"/>
    <w:rsid w:val="00AE0AAF"/>
    <w:rsid w:val="00AE0C58"/>
    <w:rsid w:val="00AE1D15"/>
    <w:rsid w:val="00AE1D8A"/>
    <w:rsid w:val="00AE3CB4"/>
    <w:rsid w:val="00AE452C"/>
    <w:rsid w:val="00AE68FE"/>
    <w:rsid w:val="00AE741A"/>
    <w:rsid w:val="00AE7E8F"/>
    <w:rsid w:val="00AF0DEB"/>
    <w:rsid w:val="00AF2E57"/>
    <w:rsid w:val="00AF31F7"/>
    <w:rsid w:val="00AF4C1A"/>
    <w:rsid w:val="00AF56B5"/>
    <w:rsid w:val="00AF6591"/>
    <w:rsid w:val="00AF6775"/>
    <w:rsid w:val="00AF738C"/>
    <w:rsid w:val="00AF790B"/>
    <w:rsid w:val="00B00237"/>
    <w:rsid w:val="00B00710"/>
    <w:rsid w:val="00B00F6E"/>
    <w:rsid w:val="00B01BEE"/>
    <w:rsid w:val="00B03795"/>
    <w:rsid w:val="00B07B9E"/>
    <w:rsid w:val="00B110C4"/>
    <w:rsid w:val="00B12EBC"/>
    <w:rsid w:val="00B13365"/>
    <w:rsid w:val="00B1339B"/>
    <w:rsid w:val="00B160CC"/>
    <w:rsid w:val="00B1791F"/>
    <w:rsid w:val="00B208A5"/>
    <w:rsid w:val="00B20EC3"/>
    <w:rsid w:val="00B217DE"/>
    <w:rsid w:val="00B222CE"/>
    <w:rsid w:val="00B225AE"/>
    <w:rsid w:val="00B22AE4"/>
    <w:rsid w:val="00B23EAA"/>
    <w:rsid w:val="00B2484D"/>
    <w:rsid w:val="00B267E2"/>
    <w:rsid w:val="00B27D81"/>
    <w:rsid w:val="00B321E3"/>
    <w:rsid w:val="00B33473"/>
    <w:rsid w:val="00B34E32"/>
    <w:rsid w:val="00B35463"/>
    <w:rsid w:val="00B402E1"/>
    <w:rsid w:val="00B41622"/>
    <w:rsid w:val="00B42D5B"/>
    <w:rsid w:val="00B46208"/>
    <w:rsid w:val="00B46D45"/>
    <w:rsid w:val="00B4787A"/>
    <w:rsid w:val="00B50687"/>
    <w:rsid w:val="00B50947"/>
    <w:rsid w:val="00B50957"/>
    <w:rsid w:val="00B5099C"/>
    <w:rsid w:val="00B5175E"/>
    <w:rsid w:val="00B53185"/>
    <w:rsid w:val="00B53476"/>
    <w:rsid w:val="00B53EE4"/>
    <w:rsid w:val="00B540A1"/>
    <w:rsid w:val="00B54E74"/>
    <w:rsid w:val="00B5505C"/>
    <w:rsid w:val="00B57868"/>
    <w:rsid w:val="00B60479"/>
    <w:rsid w:val="00B614A6"/>
    <w:rsid w:val="00B618EE"/>
    <w:rsid w:val="00B62763"/>
    <w:rsid w:val="00B6422F"/>
    <w:rsid w:val="00B648F3"/>
    <w:rsid w:val="00B64968"/>
    <w:rsid w:val="00B64C9B"/>
    <w:rsid w:val="00B65E7C"/>
    <w:rsid w:val="00B666A5"/>
    <w:rsid w:val="00B67AAE"/>
    <w:rsid w:val="00B70015"/>
    <w:rsid w:val="00B7051C"/>
    <w:rsid w:val="00B72100"/>
    <w:rsid w:val="00B733C0"/>
    <w:rsid w:val="00B7513E"/>
    <w:rsid w:val="00B754A1"/>
    <w:rsid w:val="00B7737A"/>
    <w:rsid w:val="00B77B65"/>
    <w:rsid w:val="00B847AB"/>
    <w:rsid w:val="00B87AB7"/>
    <w:rsid w:val="00BA12C1"/>
    <w:rsid w:val="00BA165E"/>
    <w:rsid w:val="00BA2B2C"/>
    <w:rsid w:val="00BA3B38"/>
    <w:rsid w:val="00BA4385"/>
    <w:rsid w:val="00BA4755"/>
    <w:rsid w:val="00BA561D"/>
    <w:rsid w:val="00BA628E"/>
    <w:rsid w:val="00BA71BF"/>
    <w:rsid w:val="00BB10A8"/>
    <w:rsid w:val="00BB1412"/>
    <w:rsid w:val="00BB1C98"/>
    <w:rsid w:val="00BB23B1"/>
    <w:rsid w:val="00BB2B20"/>
    <w:rsid w:val="00BB2BB3"/>
    <w:rsid w:val="00BB5BDC"/>
    <w:rsid w:val="00BB5D27"/>
    <w:rsid w:val="00BB6534"/>
    <w:rsid w:val="00BC101A"/>
    <w:rsid w:val="00BC16E8"/>
    <w:rsid w:val="00BC4266"/>
    <w:rsid w:val="00BC46FA"/>
    <w:rsid w:val="00BC4FD4"/>
    <w:rsid w:val="00BC6CF9"/>
    <w:rsid w:val="00BC75B5"/>
    <w:rsid w:val="00BC7D08"/>
    <w:rsid w:val="00BD20F7"/>
    <w:rsid w:val="00BD246A"/>
    <w:rsid w:val="00BD27A4"/>
    <w:rsid w:val="00BD3B66"/>
    <w:rsid w:val="00BD573B"/>
    <w:rsid w:val="00BD6C8F"/>
    <w:rsid w:val="00BD6CE8"/>
    <w:rsid w:val="00BD711D"/>
    <w:rsid w:val="00BE0066"/>
    <w:rsid w:val="00BE0D0D"/>
    <w:rsid w:val="00BE0DB3"/>
    <w:rsid w:val="00BE4220"/>
    <w:rsid w:val="00BE43D5"/>
    <w:rsid w:val="00BE4665"/>
    <w:rsid w:val="00BE4916"/>
    <w:rsid w:val="00BE4B47"/>
    <w:rsid w:val="00BE60B4"/>
    <w:rsid w:val="00BE6282"/>
    <w:rsid w:val="00BE67B3"/>
    <w:rsid w:val="00BE7A0D"/>
    <w:rsid w:val="00BF1975"/>
    <w:rsid w:val="00BF1A61"/>
    <w:rsid w:val="00BF26BB"/>
    <w:rsid w:val="00BF31B0"/>
    <w:rsid w:val="00BF3682"/>
    <w:rsid w:val="00BF48E7"/>
    <w:rsid w:val="00BF6912"/>
    <w:rsid w:val="00C01C5C"/>
    <w:rsid w:val="00C02359"/>
    <w:rsid w:val="00C02948"/>
    <w:rsid w:val="00C02FBD"/>
    <w:rsid w:val="00C036B6"/>
    <w:rsid w:val="00C0512D"/>
    <w:rsid w:val="00C05228"/>
    <w:rsid w:val="00C062E7"/>
    <w:rsid w:val="00C067C0"/>
    <w:rsid w:val="00C07146"/>
    <w:rsid w:val="00C07776"/>
    <w:rsid w:val="00C101B0"/>
    <w:rsid w:val="00C101EE"/>
    <w:rsid w:val="00C113AE"/>
    <w:rsid w:val="00C11A9E"/>
    <w:rsid w:val="00C14669"/>
    <w:rsid w:val="00C14B00"/>
    <w:rsid w:val="00C2052C"/>
    <w:rsid w:val="00C21617"/>
    <w:rsid w:val="00C2262F"/>
    <w:rsid w:val="00C231F1"/>
    <w:rsid w:val="00C23591"/>
    <w:rsid w:val="00C23DFF"/>
    <w:rsid w:val="00C247AC"/>
    <w:rsid w:val="00C2487A"/>
    <w:rsid w:val="00C24A61"/>
    <w:rsid w:val="00C260F7"/>
    <w:rsid w:val="00C313A0"/>
    <w:rsid w:val="00C3264C"/>
    <w:rsid w:val="00C33132"/>
    <w:rsid w:val="00C345DA"/>
    <w:rsid w:val="00C346E1"/>
    <w:rsid w:val="00C34963"/>
    <w:rsid w:val="00C3596A"/>
    <w:rsid w:val="00C35E64"/>
    <w:rsid w:val="00C36DEB"/>
    <w:rsid w:val="00C378B0"/>
    <w:rsid w:val="00C40839"/>
    <w:rsid w:val="00C4170A"/>
    <w:rsid w:val="00C43177"/>
    <w:rsid w:val="00C4359C"/>
    <w:rsid w:val="00C4597A"/>
    <w:rsid w:val="00C47B3B"/>
    <w:rsid w:val="00C5025D"/>
    <w:rsid w:val="00C5059D"/>
    <w:rsid w:val="00C52A15"/>
    <w:rsid w:val="00C554DC"/>
    <w:rsid w:val="00C56110"/>
    <w:rsid w:val="00C564CE"/>
    <w:rsid w:val="00C60042"/>
    <w:rsid w:val="00C6105C"/>
    <w:rsid w:val="00C6111B"/>
    <w:rsid w:val="00C6343E"/>
    <w:rsid w:val="00C65B83"/>
    <w:rsid w:val="00C65EF8"/>
    <w:rsid w:val="00C665CA"/>
    <w:rsid w:val="00C6706B"/>
    <w:rsid w:val="00C673DC"/>
    <w:rsid w:val="00C705F8"/>
    <w:rsid w:val="00C73E9E"/>
    <w:rsid w:val="00C747F7"/>
    <w:rsid w:val="00C7546A"/>
    <w:rsid w:val="00C778BE"/>
    <w:rsid w:val="00C77F80"/>
    <w:rsid w:val="00C80FA1"/>
    <w:rsid w:val="00C816EE"/>
    <w:rsid w:val="00C8270E"/>
    <w:rsid w:val="00C8353E"/>
    <w:rsid w:val="00C85AE9"/>
    <w:rsid w:val="00C87D9A"/>
    <w:rsid w:val="00C91071"/>
    <w:rsid w:val="00C928D6"/>
    <w:rsid w:val="00C93004"/>
    <w:rsid w:val="00C93AA0"/>
    <w:rsid w:val="00C94225"/>
    <w:rsid w:val="00C943CC"/>
    <w:rsid w:val="00C946C7"/>
    <w:rsid w:val="00C96F16"/>
    <w:rsid w:val="00CA03EF"/>
    <w:rsid w:val="00CA0BE3"/>
    <w:rsid w:val="00CA61A5"/>
    <w:rsid w:val="00CA6592"/>
    <w:rsid w:val="00CA787E"/>
    <w:rsid w:val="00CA7E71"/>
    <w:rsid w:val="00CB2861"/>
    <w:rsid w:val="00CB3860"/>
    <w:rsid w:val="00CB3C3F"/>
    <w:rsid w:val="00CB3CAB"/>
    <w:rsid w:val="00CB3E0E"/>
    <w:rsid w:val="00CB3F55"/>
    <w:rsid w:val="00CB4959"/>
    <w:rsid w:val="00CB5C92"/>
    <w:rsid w:val="00CB6F02"/>
    <w:rsid w:val="00CC2815"/>
    <w:rsid w:val="00CC286A"/>
    <w:rsid w:val="00CC3564"/>
    <w:rsid w:val="00CC3660"/>
    <w:rsid w:val="00CC4400"/>
    <w:rsid w:val="00CC4465"/>
    <w:rsid w:val="00CC4515"/>
    <w:rsid w:val="00CC77CA"/>
    <w:rsid w:val="00CD00EB"/>
    <w:rsid w:val="00CD0ED7"/>
    <w:rsid w:val="00CD311D"/>
    <w:rsid w:val="00CD3F73"/>
    <w:rsid w:val="00CD4002"/>
    <w:rsid w:val="00CD46CB"/>
    <w:rsid w:val="00CD5413"/>
    <w:rsid w:val="00CD591D"/>
    <w:rsid w:val="00CD6576"/>
    <w:rsid w:val="00CD6C98"/>
    <w:rsid w:val="00CD6E51"/>
    <w:rsid w:val="00CD6ED4"/>
    <w:rsid w:val="00CD703F"/>
    <w:rsid w:val="00CD764B"/>
    <w:rsid w:val="00CE34D9"/>
    <w:rsid w:val="00CE3D48"/>
    <w:rsid w:val="00CE4CC1"/>
    <w:rsid w:val="00CE53CC"/>
    <w:rsid w:val="00CE7DB9"/>
    <w:rsid w:val="00CF3159"/>
    <w:rsid w:val="00CF559F"/>
    <w:rsid w:val="00CF5622"/>
    <w:rsid w:val="00D005B0"/>
    <w:rsid w:val="00D01EB2"/>
    <w:rsid w:val="00D0327A"/>
    <w:rsid w:val="00D03CC5"/>
    <w:rsid w:val="00D041C0"/>
    <w:rsid w:val="00D04DA0"/>
    <w:rsid w:val="00D057FC"/>
    <w:rsid w:val="00D05ADD"/>
    <w:rsid w:val="00D10E77"/>
    <w:rsid w:val="00D114EF"/>
    <w:rsid w:val="00D16082"/>
    <w:rsid w:val="00D178BC"/>
    <w:rsid w:val="00D207CF"/>
    <w:rsid w:val="00D239FE"/>
    <w:rsid w:val="00D24154"/>
    <w:rsid w:val="00D24EC3"/>
    <w:rsid w:val="00D26469"/>
    <w:rsid w:val="00D2654D"/>
    <w:rsid w:val="00D2787B"/>
    <w:rsid w:val="00D33975"/>
    <w:rsid w:val="00D356CF"/>
    <w:rsid w:val="00D3794B"/>
    <w:rsid w:val="00D40130"/>
    <w:rsid w:val="00D4015C"/>
    <w:rsid w:val="00D4075D"/>
    <w:rsid w:val="00D40943"/>
    <w:rsid w:val="00D40FA8"/>
    <w:rsid w:val="00D41EAE"/>
    <w:rsid w:val="00D41FE8"/>
    <w:rsid w:val="00D420A5"/>
    <w:rsid w:val="00D4277D"/>
    <w:rsid w:val="00D43795"/>
    <w:rsid w:val="00D43AAD"/>
    <w:rsid w:val="00D44274"/>
    <w:rsid w:val="00D44783"/>
    <w:rsid w:val="00D447AC"/>
    <w:rsid w:val="00D447FA"/>
    <w:rsid w:val="00D44AAE"/>
    <w:rsid w:val="00D470CA"/>
    <w:rsid w:val="00D503B9"/>
    <w:rsid w:val="00D514BC"/>
    <w:rsid w:val="00D51646"/>
    <w:rsid w:val="00D519CD"/>
    <w:rsid w:val="00D540C5"/>
    <w:rsid w:val="00D54F5D"/>
    <w:rsid w:val="00D54FA2"/>
    <w:rsid w:val="00D565B5"/>
    <w:rsid w:val="00D566CA"/>
    <w:rsid w:val="00D575DE"/>
    <w:rsid w:val="00D6242E"/>
    <w:rsid w:val="00D628E9"/>
    <w:rsid w:val="00D64221"/>
    <w:rsid w:val="00D72915"/>
    <w:rsid w:val="00D736AE"/>
    <w:rsid w:val="00D74542"/>
    <w:rsid w:val="00D74B85"/>
    <w:rsid w:val="00D76AC9"/>
    <w:rsid w:val="00D76B8E"/>
    <w:rsid w:val="00D82E6A"/>
    <w:rsid w:val="00D835F5"/>
    <w:rsid w:val="00D84617"/>
    <w:rsid w:val="00D86DC5"/>
    <w:rsid w:val="00D87659"/>
    <w:rsid w:val="00D87691"/>
    <w:rsid w:val="00D90A78"/>
    <w:rsid w:val="00D91104"/>
    <w:rsid w:val="00D92246"/>
    <w:rsid w:val="00D93E9C"/>
    <w:rsid w:val="00D94DC0"/>
    <w:rsid w:val="00D97F93"/>
    <w:rsid w:val="00DA03CB"/>
    <w:rsid w:val="00DA0997"/>
    <w:rsid w:val="00DA2060"/>
    <w:rsid w:val="00DA29B0"/>
    <w:rsid w:val="00DA36F6"/>
    <w:rsid w:val="00DA3882"/>
    <w:rsid w:val="00DA4478"/>
    <w:rsid w:val="00DA5163"/>
    <w:rsid w:val="00DA54A0"/>
    <w:rsid w:val="00DA54F5"/>
    <w:rsid w:val="00DA5BD5"/>
    <w:rsid w:val="00DA619D"/>
    <w:rsid w:val="00DA6868"/>
    <w:rsid w:val="00DA68D9"/>
    <w:rsid w:val="00DB0263"/>
    <w:rsid w:val="00DB0535"/>
    <w:rsid w:val="00DB18C5"/>
    <w:rsid w:val="00DB1BB9"/>
    <w:rsid w:val="00DB2DD2"/>
    <w:rsid w:val="00DB4C81"/>
    <w:rsid w:val="00DB65CE"/>
    <w:rsid w:val="00DB6A34"/>
    <w:rsid w:val="00DB75E8"/>
    <w:rsid w:val="00DC061B"/>
    <w:rsid w:val="00DC1164"/>
    <w:rsid w:val="00DC19DB"/>
    <w:rsid w:val="00DD1129"/>
    <w:rsid w:val="00DD11D0"/>
    <w:rsid w:val="00DD1402"/>
    <w:rsid w:val="00DD15E9"/>
    <w:rsid w:val="00DD280F"/>
    <w:rsid w:val="00DD2C33"/>
    <w:rsid w:val="00DD2FB1"/>
    <w:rsid w:val="00DD3732"/>
    <w:rsid w:val="00DD42C2"/>
    <w:rsid w:val="00DD4439"/>
    <w:rsid w:val="00DD61C9"/>
    <w:rsid w:val="00DD6B37"/>
    <w:rsid w:val="00DD722E"/>
    <w:rsid w:val="00DD753E"/>
    <w:rsid w:val="00DD760C"/>
    <w:rsid w:val="00DE2390"/>
    <w:rsid w:val="00DE307E"/>
    <w:rsid w:val="00DE49B4"/>
    <w:rsid w:val="00DE50AC"/>
    <w:rsid w:val="00DE6FE8"/>
    <w:rsid w:val="00DF0557"/>
    <w:rsid w:val="00DF05B5"/>
    <w:rsid w:val="00DF1487"/>
    <w:rsid w:val="00DF159B"/>
    <w:rsid w:val="00DF1932"/>
    <w:rsid w:val="00DF2C2C"/>
    <w:rsid w:val="00DF2D6F"/>
    <w:rsid w:val="00DF4BE1"/>
    <w:rsid w:val="00DF4C36"/>
    <w:rsid w:val="00DF54D9"/>
    <w:rsid w:val="00DF698A"/>
    <w:rsid w:val="00DF7AE1"/>
    <w:rsid w:val="00E00DF9"/>
    <w:rsid w:val="00E018FF"/>
    <w:rsid w:val="00E01B76"/>
    <w:rsid w:val="00E01DDE"/>
    <w:rsid w:val="00E033F9"/>
    <w:rsid w:val="00E036D2"/>
    <w:rsid w:val="00E03DBF"/>
    <w:rsid w:val="00E03DF4"/>
    <w:rsid w:val="00E06180"/>
    <w:rsid w:val="00E0650D"/>
    <w:rsid w:val="00E0738F"/>
    <w:rsid w:val="00E10065"/>
    <w:rsid w:val="00E109D6"/>
    <w:rsid w:val="00E121EA"/>
    <w:rsid w:val="00E12B24"/>
    <w:rsid w:val="00E13126"/>
    <w:rsid w:val="00E13C26"/>
    <w:rsid w:val="00E13D21"/>
    <w:rsid w:val="00E15867"/>
    <w:rsid w:val="00E158BD"/>
    <w:rsid w:val="00E16244"/>
    <w:rsid w:val="00E17FB1"/>
    <w:rsid w:val="00E207AD"/>
    <w:rsid w:val="00E209FC"/>
    <w:rsid w:val="00E21386"/>
    <w:rsid w:val="00E2325D"/>
    <w:rsid w:val="00E2401A"/>
    <w:rsid w:val="00E24608"/>
    <w:rsid w:val="00E24F5B"/>
    <w:rsid w:val="00E25DE8"/>
    <w:rsid w:val="00E26BA8"/>
    <w:rsid w:val="00E2749E"/>
    <w:rsid w:val="00E2769B"/>
    <w:rsid w:val="00E31B1D"/>
    <w:rsid w:val="00E31C44"/>
    <w:rsid w:val="00E32ED1"/>
    <w:rsid w:val="00E3328E"/>
    <w:rsid w:val="00E33864"/>
    <w:rsid w:val="00E34485"/>
    <w:rsid w:val="00E34751"/>
    <w:rsid w:val="00E35204"/>
    <w:rsid w:val="00E37B34"/>
    <w:rsid w:val="00E37D8B"/>
    <w:rsid w:val="00E417FB"/>
    <w:rsid w:val="00E42B5D"/>
    <w:rsid w:val="00E463A5"/>
    <w:rsid w:val="00E46693"/>
    <w:rsid w:val="00E479EA"/>
    <w:rsid w:val="00E50391"/>
    <w:rsid w:val="00E50719"/>
    <w:rsid w:val="00E53F7A"/>
    <w:rsid w:val="00E569C0"/>
    <w:rsid w:val="00E57BDF"/>
    <w:rsid w:val="00E60D69"/>
    <w:rsid w:val="00E61A45"/>
    <w:rsid w:val="00E65DEB"/>
    <w:rsid w:val="00E70DF0"/>
    <w:rsid w:val="00E711A6"/>
    <w:rsid w:val="00E711B8"/>
    <w:rsid w:val="00E72958"/>
    <w:rsid w:val="00E72A23"/>
    <w:rsid w:val="00E72AFB"/>
    <w:rsid w:val="00E72D85"/>
    <w:rsid w:val="00E738F4"/>
    <w:rsid w:val="00E76FD8"/>
    <w:rsid w:val="00E77BD7"/>
    <w:rsid w:val="00E77E38"/>
    <w:rsid w:val="00E80581"/>
    <w:rsid w:val="00E810BA"/>
    <w:rsid w:val="00E812C4"/>
    <w:rsid w:val="00E82189"/>
    <w:rsid w:val="00E831B6"/>
    <w:rsid w:val="00E8348A"/>
    <w:rsid w:val="00E849D3"/>
    <w:rsid w:val="00E84CF0"/>
    <w:rsid w:val="00E85371"/>
    <w:rsid w:val="00E90924"/>
    <w:rsid w:val="00E90CBD"/>
    <w:rsid w:val="00E90ECD"/>
    <w:rsid w:val="00E959A3"/>
    <w:rsid w:val="00E95E56"/>
    <w:rsid w:val="00EA0FB7"/>
    <w:rsid w:val="00EA258B"/>
    <w:rsid w:val="00EA299A"/>
    <w:rsid w:val="00EA3470"/>
    <w:rsid w:val="00EA40B0"/>
    <w:rsid w:val="00EA4F7C"/>
    <w:rsid w:val="00EA7800"/>
    <w:rsid w:val="00EB23A7"/>
    <w:rsid w:val="00EB29B3"/>
    <w:rsid w:val="00EB36A1"/>
    <w:rsid w:val="00EB3A62"/>
    <w:rsid w:val="00EB4365"/>
    <w:rsid w:val="00EB4A19"/>
    <w:rsid w:val="00EB4E6A"/>
    <w:rsid w:val="00EB57F2"/>
    <w:rsid w:val="00EB5DFA"/>
    <w:rsid w:val="00EC012D"/>
    <w:rsid w:val="00EC074E"/>
    <w:rsid w:val="00EC0C04"/>
    <w:rsid w:val="00EC1122"/>
    <w:rsid w:val="00EC11F8"/>
    <w:rsid w:val="00EC1D25"/>
    <w:rsid w:val="00EC3165"/>
    <w:rsid w:val="00EC38C6"/>
    <w:rsid w:val="00EC4DCD"/>
    <w:rsid w:val="00EC59DD"/>
    <w:rsid w:val="00EC7374"/>
    <w:rsid w:val="00EC7549"/>
    <w:rsid w:val="00EC75A7"/>
    <w:rsid w:val="00ED06E0"/>
    <w:rsid w:val="00ED0F60"/>
    <w:rsid w:val="00ED1852"/>
    <w:rsid w:val="00ED1A11"/>
    <w:rsid w:val="00ED2CF3"/>
    <w:rsid w:val="00ED36F9"/>
    <w:rsid w:val="00ED3FFB"/>
    <w:rsid w:val="00ED46B5"/>
    <w:rsid w:val="00ED49E1"/>
    <w:rsid w:val="00ED78A8"/>
    <w:rsid w:val="00EE0C1E"/>
    <w:rsid w:val="00EE1A11"/>
    <w:rsid w:val="00EE1EF1"/>
    <w:rsid w:val="00EE2940"/>
    <w:rsid w:val="00EE2C77"/>
    <w:rsid w:val="00EE3817"/>
    <w:rsid w:val="00EE4CDC"/>
    <w:rsid w:val="00EE68F8"/>
    <w:rsid w:val="00EF0B37"/>
    <w:rsid w:val="00EF0E1F"/>
    <w:rsid w:val="00EF407B"/>
    <w:rsid w:val="00EF5A8D"/>
    <w:rsid w:val="00EF60C3"/>
    <w:rsid w:val="00F013DE"/>
    <w:rsid w:val="00F01C23"/>
    <w:rsid w:val="00F01E4B"/>
    <w:rsid w:val="00F027DE"/>
    <w:rsid w:val="00F029EF"/>
    <w:rsid w:val="00F03A99"/>
    <w:rsid w:val="00F0540F"/>
    <w:rsid w:val="00F07661"/>
    <w:rsid w:val="00F12E63"/>
    <w:rsid w:val="00F20105"/>
    <w:rsid w:val="00F209F4"/>
    <w:rsid w:val="00F20BC6"/>
    <w:rsid w:val="00F21449"/>
    <w:rsid w:val="00F23901"/>
    <w:rsid w:val="00F23D0D"/>
    <w:rsid w:val="00F2494E"/>
    <w:rsid w:val="00F249D5"/>
    <w:rsid w:val="00F24C40"/>
    <w:rsid w:val="00F24CC1"/>
    <w:rsid w:val="00F2588D"/>
    <w:rsid w:val="00F25DEF"/>
    <w:rsid w:val="00F27B5C"/>
    <w:rsid w:val="00F3045F"/>
    <w:rsid w:val="00F310AA"/>
    <w:rsid w:val="00F31F8D"/>
    <w:rsid w:val="00F3200F"/>
    <w:rsid w:val="00F321B8"/>
    <w:rsid w:val="00F34F3A"/>
    <w:rsid w:val="00F36348"/>
    <w:rsid w:val="00F364F3"/>
    <w:rsid w:val="00F373C3"/>
    <w:rsid w:val="00F40B25"/>
    <w:rsid w:val="00F420E4"/>
    <w:rsid w:val="00F42A5D"/>
    <w:rsid w:val="00F4534F"/>
    <w:rsid w:val="00F472DB"/>
    <w:rsid w:val="00F51D96"/>
    <w:rsid w:val="00F52166"/>
    <w:rsid w:val="00F5236E"/>
    <w:rsid w:val="00F54C4A"/>
    <w:rsid w:val="00F56085"/>
    <w:rsid w:val="00F560E9"/>
    <w:rsid w:val="00F56119"/>
    <w:rsid w:val="00F5652C"/>
    <w:rsid w:val="00F57199"/>
    <w:rsid w:val="00F573F6"/>
    <w:rsid w:val="00F605D0"/>
    <w:rsid w:val="00F6104A"/>
    <w:rsid w:val="00F63CFF"/>
    <w:rsid w:val="00F64542"/>
    <w:rsid w:val="00F647FB"/>
    <w:rsid w:val="00F6584A"/>
    <w:rsid w:val="00F6636F"/>
    <w:rsid w:val="00F667B8"/>
    <w:rsid w:val="00F674DE"/>
    <w:rsid w:val="00F7023B"/>
    <w:rsid w:val="00F70A34"/>
    <w:rsid w:val="00F72CB7"/>
    <w:rsid w:val="00F76263"/>
    <w:rsid w:val="00F766AE"/>
    <w:rsid w:val="00F7686D"/>
    <w:rsid w:val="00F76E87"/>
    <w:rsid w:val="00F76FF8"/>
    <w:rsid w:val="00F77666"/>
    <w:rsid w:val="00F77E28"/>
    <w:rsid w:val="00F80802"/>
    <w:rsid w:val="00F81B9C"/>
    <w:rsid w:val="00F82F52"/>
    <w:rsid w:val="00F844E8"/>
    <w:rsid w:val="00F85142"/>
    <w:rsid w:val="00F8751D"/>
    <w:rsid w:val="00F91F89"/>
    <w:rsid w:val="00F920CB"/>
    <w:rsid w:val="00F92762"/>
    <w:rsid w:val="00F946D7"/>
    <w:rsid w:val="00F94B58"/>
    <w:rsid w:val="00F955A3"/>
    <w:rsid w:val="00F96419"/>
    <w:rsid w:val="00F967CF"/>
    <w:rsid w:val="00FA01B3"/>
    <w:rsid w:val="00FA1E58"/>
    <w:rsid w:val="00FA3589"/>
    <w:rsid w:val="00FA48E6"/>
    <w:rsid w:val="00FA6DDB"/>
    <w:rsid w:val="00FA7E01"/>
    <w:rsid w:val="00FB1617"/>
    <w:rsid w:val="00FB1811"/>
    <w:rsid w:val="00FB193B"/>
    <w:rsid w:val="00FB1B45"/>
    <w:rsid w:val="00FB2EDB"/>
    <w:rsid w:val="00FB38AE"/>
    <w:rsid w:val="00FB4D8E"/>
    <w:rsid w:val="00FB4F54"/>
    <w:rsid w:val="00FB532E"/>
    <w:rsid w:val="00FB55AD"/>
    <w:rsid w:val="00FB7E6E"/>
    <w:rsid w:val="00FC1707"/>
    <w:rsid w:val="00FC3C41"/>
    <w:rsid w:val="00FC51C2"/>
    <w:rsid w:val="00FC6948"/>
    <w:rsid w:val="00FC6DF5"/>
    <w:rsid w:val="00FC6E53"/>
    <w:rsid w:val="00FC7303"/>
    <w:rsid w:val="00FC75D8"/>
    <w:rsid w:val="00FD02FD"/>
    <w:rsid w:val="00FD1B95"/>
    <w:rsid w:val="00FD22F8"/>
    <w:rsid w:val="00FD2492"/>
    <w:rsid w:val="00FD37A7"/>
    <w:rsid w:val="00FD4377"/>
    <w:rsid w:val="00FD4CE5"/>
    <w:rsid w:val="00FD4E98"/>
    <w:rsid w:val="00FE1F69"/>
    <w:rsid w:val="00FE21B1"/>
    <w:rsid w:val="00FE3E3F"/>
    <w:rsid w:val="00FE49E0"/>
    <w:rsid w:val="00FE4D08"/>
    <w:rsid w:val="00FE79BA"/>
    <w:rsid w:val="00FF0DE8"/>
    <w:rsid w:val="00FF0EEF"/>
    <w:rsid w:val="00FF26A1"/>
    <w:rsid w:val="00FF2A10"/>
    <w:rsid w:val="00FF38DA"/>
    <w:rsid w:val="00FF4F7F"/>
    <w:rsid w:val="00FF5552"/>
    <w:rsid w:val="00FF706E"/>
    <w:rsid w:val="021352F5"/>
    <w:rsid w:val="0431F6B7"/>
    <w:rsid w:val="05A0E3DA"/>
    <w:rsid w:val="06722278"/>
    <w:rsid w:val="07DD45FA"/>
    <w:rsid w:val="0A004206"/>
    <w:rsid w:val="0BC24976"/>
    <w:rsid w:val="0BD2054F"/>
    <w:rsid w:val="0C4C6441"/>
    <w:rsid w:val="0FE8DF5F"/>
    <w:rsid w:val="100D4ADC"/>
    <w:rsid w:val="10BAA1DE"/>
    <w:rsid w:val="1177A9AB"/>
    <w:rsid w:val="13577113"/>
    <w:rsid w:val="1427D89E"/>
    <w:rsid w:val="157B3080"/>
    <w:rsid w:val="19DD25EC"/>
    <w:rsid w:val="1B50475F"/>
    <w:rsid w:val="1C646713"/>
    <w:rsid w:val="1D00E86A"/>
    <w:rsid w:val="1D87B22B"/>
    <w:rsid w:val="1DA17C0F"/>
    <w:rsid w:val="1F6D6117"/>
    <w:rsid w:val="2008DC67"/>
    <w:rsid w:val="201C9CCF"/>
    <w:rsid w:val="21E7D32A"/>
    <w:rsid w:val="253934F7"/>
    <w:rsid w:val="26D14D43"/>
    <w:rsid w:val="2870D5B9"/>
    <w:rsid w:val="2C650DA1"/>
    <w:rsid w:val="2E0AB8B6"/>
    <w:rsid w:val="31425978"/>
    <w:rsid w:val="32F1B9E7"/>
    <w:rsid w:val="32F2F356"/>
    <w:rsid w:val="37F3937B"/>
    <w:rsid w:val="3821BAC0"/>
    <w:rsid w:val="3D32918F"/>
    <w:rsid w:val="3DC860A7"/>
    <w:rsid w:val="3FD0D59D"/>
    <w:rsid w:val="423B06FA"/>
    <w:rsid w:val="4304A838"/>
    <w:rsid w:val="43A96AD4"/>
    <w:rsid w:val="46BF7ACA"/>
    <w:rsid w:val="48FD12F6"/>
    <w:rsid w:val="4C074C03"/>
    <w:rsid w:val="4C5A5EBE"/>
    <w:rsid w:val="4E4F4657"/>
    <w:rsid w:val="4F4C26A4"/>
    <w:rsid w:val="4F827FF1"/>
    <w:rsid w:val="4F91FF80"/>
    <w:rsid w:val="500C744E"/>
    <w:rsid w:val="536A1BA7"/>
    <w:rsid w:val="5443F4B6"/>
    <w:rsid w:val="56508118"/>
    <w:rsid w:val="591039DA"/>
    <w:rsid w:val="593F953C"/>
    <w:rsid w:val="599C2B16"/>
    <w:rsid w:val="5AB4FC8D"/>
    <w:rsid w:val="5B187137"/>
    <w:rsid w:val="5B20A662"/>
    <w:rsid w:val="5CD00AD4"/>
    <w:rsid w:val="5D01BB54"/>
    <w:rsid w:val="5D93DBCF"/>
    <w:rsid w:val="5DE57661"/>
    <w:rsid w:val="5E665ACD"/>
    <w:rsid w:val="5E6688DF"/>
    <w:rsid w:val="5FF2582D"/>
    <w:rsid w:val="60CB7C91"/>
    <w:rsid w:val="633BB8A3"/>
    <w:rsid w:val="64829358"/>
    <w:rsid w:val="69F0363E"/>
    <w:rsid w:val="6DD47129"/>
    <w:rsid w:val="6DFC9F5F"/>
    <w:rsid w:val="6E566DBD"/>
    <w:rsid w:val="7199A8F5"/>
    <w:rsid w:val="72B9FE5D"/>
    <w:rsid w:val="72D3F561"/>
    <w:rsid w:val="73C25F37"/>
    <w:rsid w:val="74085160"/>
    <w:rsid w:val="7594F724"/>
    <w:rsid w:val="75B011DD"/>
    <w:rsid w:val="75FF7615"/>
    <w:rsid w:val="789C9ED6"/>
    <w:rsid w:val="7A7D6626"/>
    <w:rsid w:val="7A7FCAEB"/>
    <w:rsid w:val="7D4ACD2C"/>
    <w:rsid w:val="7DC90EF4"/>
    <w:rsid w:val="7EAAA249"/>
    <w:rsid w:val="7EFCEECA"/>
    <w:rsid w:val="7F947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D6AF"/>
  <w15:chartTrackingRefBased/>
  <w15:docId w15:val="{49871386-5CBA-4B2E-833F-AA9280AC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EAF"/>
    <w:pPr>
      <w:keepNext/>
      <w:numPr>
        <w:numId w:val="16"/>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5EAF"/>
    <w:pPr>
      <w:keepNext/>
      <w:numPr>
        <w:ilvl w:val="1"/>
        <w:numId w:val="16"/>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5EAF"/>
    <w:pPr>
      <w:keepNext/>
      <w:numPr>
        <w:ilvl w:val="2"/>
        <w:numId w:val="16"/>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5EAF"/>
    <w:pPr>
      <w:keepNext/>
      <w:numPr>
        <w:ilvl w:val="3"/>
        <w:numId w:val="16"/>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55EAF"/>
    <w:pPr>
      <w:numPr>
        <w:ilvl w:val="4"/>
        <w:numId w:val="16"/>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55EAF"/>
    <w:pPr>
      <w:numPr>
        <w:ilvl w:val="5"/>
        <w:numId w:val="1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55EAF"/>
    <w:pPr>
      <w:numPr>
        <w:ilvl w:val="6"/>
        <w:numId w:val="16"/>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55EAF"/>
    <w:pPr>
      <w:numPr>
        <w:ilvl w:val="7"/>
        <w:numId w:val="16"/>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55EAF"/>
    <w:pPr>
      <w:numPr>
        <w:ilvl w:val="8"/>
        <w:numId w:val="16"/>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3C26"/>
    <w:pPr>
      <w:ind w:left="720"/>
      <w:contextualSpacing/>
    </w:pPr>
  </w:style>
  <w:style w:type="character" w:customStyle="1" w:styleId="SUPERSCRIPT">
    <w:name w:val="SUPERSCRIPT"/>
    <w:uiPriority w:val="99"/>
    <w:rsid w:val="00E21386"/>
    <w:rPr>
      <w:vertAlign w:val="superscript"/>
    </w:rPr>
  </w:style>
  <w:style w:type="paragraph" w:customStyle="1" w:styleId="REGULARTEXT">
    <w:name w:val="REGULAR TEXT"/>
    <w:basedOn w:val="Normal"/>
    <w:uiPriority w:val="99"/>
    <w:rsid w:val="00E21386"/>
    <w:pPr>
      <w:widowControl w:val="0"/>
      <w:suppressAutoHyphens/>
      <w:autoSpaceDE w:val="0"/>
      <w:autoSpaceDN w:val="0"/>
      <w:adjustRightInd w:val="0"/>
      <w:spacing w:after="43" w:line="220" w:lineRule="atLeast"/>
      <w:textAlignment w:val="center"/>
    </w:pPr>
    <w:rPr>
      <w:rFonts w:ascii="MetaNormalLF-Roman" w:eastAsiaTheme="minorEastAsia" w:hAnsi="MetaNormalLF-Roman" w:cs="MetaNormalLF-Roman"/>
      <w:color w:val="000000"/>
      <w:spacing w:val="-2"/>
      <w:sz w:val="18"/>
      <w:szCs w:val="18"/>
    </w:rPr>
  </w:style>
  <w:style w:type="paragraph" w:customStyle="1" w:styleId="BULLETTEXT">
    <w:name w:val="BULLET TEXT"/>
    <w:basedOn w:val="REGULARTEXT"/>
    <w:uiPriority w:val="99"/>
    <w:rsid w:val="00E21386"/>
    <w:pPr>
      <w:ind w:left="346" w:hanging="173"/>
    </w:pPr>
  </w:style>
  <w:style w:type="paragraph" w:customStyle="1" w:styleId="HEADLINER">
    <w:name w:val="HEADLINER"/>
    <w:basedOn w:val="Normal"/>
    <w:uiPriority w:val="99"/>
    <w:rsid w:val="00E21386"/>
    <w:pPr>
      <w:widowControl w:val="0"/>
      <w:suppressAutoHyphens/>
      <w:autoSpaceDE w:val="0"/>
      <w:autoSpaceDN w:val="0"/>
      <w:adjustRightInd w:val="0"/>
      <w:spacing w:before="40" w:after="0" w:line="300" w:lineRule="atLeast"/>
      <w:textAlignment w:val="center"/>
    </w:pPr>
    <w:rPr>
      <w:rFonts w:ascii="MetaBoldLF-Roman" w:eastAsiaTheme="minorEastAsia" w:hAnsi="MetaBoldLF-Roman" w:cs="MetaBoldLF-Roman"/>
      <w:color w:val="000000"/>
      <w:spacing w:val="18"/>
      <w:sz w:val="20"/>
      <w:szCs w:val="20"/>
    </w:rPr>
  </w:style>
  <w:style w:type="character" w:styleId="CommentReference">
    <w:name w:val="annotation reference"/>
    <w:basedOn w:val="DefaultParagraphFont"/>
    <w:uiPriority w:val="99"/>
    <w:semiHidden/>
    <w:unhideWhenUsed/>
    <w:rsid w:val="00952E5D"/>
    <w:rPr>
      <w:sz w:val="16"/>
      <w:szCs w:val="16"/>
    </w:rPr>
  </w:style>
  <w:style w:type="paragraph" w:styleId="CommentText">
    <w:name w:val="annotation text"/>
    <w:basedOn w:val="Normal"/>
    <w:link w:val="CommentTextChar"/>
    <w:uiPriority w:val="99"/>
    <w:unhideWhenUsed/>
    <w:rsid w:val="00952E5D"/>
    <w:pPr>
      <w:spacing w:line="240" w:lineRule="auto"/>
    </w:pPr>
    <w:rPr>
      <w:sz w:val="20"/>
      <w:szCs w:val="20"/>
    </w:rPr>
  </w:style>
  <w:style w:type="character" w:customStyle="1" w:styleId="CommentTextChar">
    <w:name w:val="Comment Text Char"/>
    <w:basedOn w:val="DefaultParagraphFont"/>
    <w:link w:val="CommentText"/>
    <w:uiPriority w:val="99"/>
    <w:rsid w:val="00952E5D"/>
    <w:rPr>
      <w:sz w:val="20"/>
      <w:szCs w:val="20"/>
    </w:rPr>
  </w:style>
  <w:style w:type="paragraph" w:styleId="CommentSubject">
    <w:name w:val="annotation subject"/>
    <w:basedOn w:val="CommentText"/>
    <w:next w:val="CommentText"/>
    <w:link w:val="CommentSubjectChar"/>
    <w:uiPriority w:val="99"/>
    <w:semiHidden/>
    <w:unhideWhenUsed/>
    <w:rsid w:val="00952E5D"/>
    <w:rPr>
      <w:b/>
      <w:bCs/>
    </w:rPr>
  </w:style>
  <w:style w:type="character" w:customStyle="1" w:styleId="CommentSubjectChar">
    <w:name w:val="Comment Subject Char"/>
    <w:basedOn w:val="CommentTextChar"/>
    <w:link w:val="CommentSubject"/>
    <w:uiPriority w:val="99"/>
    <w:semiHidden/>
    <w:rsid w:val="00952E5D"/>
    <w:rPr>
      <w:b/>
      <w:bCs/>
      <w:sz w:val="20"/>
      <w:szCs w:val="20"/>
    </w:rPr>
  </w:style>
  <w:style w:type="paragraph" w:styleId="BalloonText">
    <w:name w:val="Balloon Text"/>
    <w:basedOn w:val="Normal"/>
    <w:link w:val="BalloonTextChar"/>
    <w:uiPriority w:val="99"/>
    <w:semiHidden/>
    <w:unhideWhenUsed/>
    <w:rsid w:val="00952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E5D"/>
    <w:rPr>
      <w:rFonts w:ascii="Segoe UI" w:hAnsi="Segoe UI" w:cs="Segoe UI"/>
      <w:sz w:val="18"/>
      <w:szCs w:val="18"/>
    </w:rPr>
  </w:style>
  <w:style w:type="table" w:styleId="TableGrid">
    <w:name w:val="Table Grid"/>
    <w:basedOn w:val="TableNormal"/>
    <w:rsid w:val="009E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DF4"/>
    <w:pPr>
      <w:spacing w:after="0" w:line="240" w:lineRule="auto"/>
    </w:pPr>
  </w:style>
  <w:style w:type="paragraph" w:styleId="Header">
    <w:name w:val="header"/>
    <w:basedOn w:val="Normal"/>
    <w:link w:val="HeaderChar"/>
    <w:uiPriority w:val="99"/>
    <w:unhideWhenUsed/>
    <w:rsid w:val="00E0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B76"/>
  </w:style>
  <w:style w:type="paragraph" w:styleId="Footer">
    <w:name w:val="footer"/>
    <w:basedOn w:val="Normal"/>
    <w:link w:val="FooterChar"/>
    <w:uiPriority w:val="99"/>
    <w:unhideWhenUsed/>
    <w:rsid w:val="00E0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B76"/>
  </w:style>
  <w:style w:type="character" w:styleId="Hyperlink">
    <w:name w:val="Hyperlink"/>
    <w:basedOn w:val="DefaultParagraphFont"/>
    <w:uiPriority w:val="99"/>
    <w:unhideWhenUsed/>
    <w:rsid w:val="00836303"/>
    <w:rPr>
      <w:color w:val="0000FF" w:themeColor="hyperlink"/>
      <w:u w:val="single"/>
    </w:rPr>
  </w:style>
  <w:style w:type="character" w:styleId="UnresolvedMention">
    <w:name w:val="Unresolved Mention"/>
    <w:basedOn w:val="DefaultParagraphFont"/>
    <w:uiPriority w:val="99"/>
    <w:unhideWhenUsed/>
    <w:rsid w:val="00836303"/>
    <w:rPr>
      <w:color w:val="605E5C"/>
      <w:shd w:val="clear" w:color="auto" w:fill="E1DFDD"/>
    </w:rPr>
  </w:style>
  <w:style w:type="character" w:styleId="Mention">
    <w:name w:val="Mention"/>
    <w:basedOn w:val="DefaultParagraphFont"/>
    <w:uiPriority w:val="99"/>
    <w:unhideWhenUsed/>
    <w:rsid w:val="00643F55"/>
    <w:rPr>
      <w:color w:val="2B579A"/>
      <w:shd w:val="clear" w:color="auto" w:fill="E1DFDD"/>
    </w:rPr>
  </w:style>
  <w:style w:type="character" w:customStyle="1" w:styleId="ListParagraphChar">
    <w:name w:val="List Paragraph Char"/>
    <w:basedOn w:val="DefaultParagraphFont"/>
    <w:link w:val="ListParagraph"/>
    <w:uiPriority w:val="34"/>
    <w:rsid w:val="003F7220"/>
  </w:style>
  <w:style w:type="character" w:customStyle="1" w:styleId="Heading1Char">
    <w:name w:val="Heading 1 Char"/>
    <w:basedOn w:val="DefaultParagraphFont"/>
    <w:link w:val="Heading1"/>
    <w:uiPriority w:val="9"/>
    <w:rsid w:val="00355EA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5EA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5EA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5EAF"/>
    <w:rPr>
      <w:rFonts w:eastAsiaTheme="minorEastAsia"/>
      <w:b/>
      <w:bCs/>
      <w:sz w:val="28"/>
      <w:szCs w:val="28"/>
    </w:rPr>
  </w:style>
  <w:style w:type="character" w:customStyle="1" w:styleId="Heading5Char">
    <w:name w:val="Heading 5 Char"/>
    <w:basedOn w:val="DefaultParagraphFont"/>
    <w:link w:val="Heading5"/>
    <w:uiPriority w:val="9"/>
    <w:semiHidden/>
    <w:rsid w:val="00355EAF"/>
    <w:rPr>
      <w:rFonts w:eastAsiaTheme="minorEastAsia"/>
      <w:b/>
      <w:bCs/>
      <w:i/>
      <w:iCs/>
      <w:sz w:val="26"/>
      <w:szCs w:val="26"/>
    </w:rPr>
  </w:style>
  <w:style w:type="character" w:customStyle="1" w:styleId="Heading6Char">
    <w:name w:val="Heading 6 Char"/>
    <w:basedOn w:val="DefaultParagraphFont"/>
    <w:link w:val="Heading6"/>
    <w:rsid w:val="00355EA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55EAF"/>
    <w:rPr>
      <w:rFonts w:eastAsiaTheme="minorEastAsia"/>
      <w:sz w:val="24"/>
      <w:szCs w:val="24"/>
    </w:rPr>
  </w:style>
  <w:style w:type="character" w:customStyle="1" w:styleId="Heading8Char">
    <w:name w:val="Heading 8 Char"/>
    <w:basedOn w:val="DefaultParagraphFont"/>
    <w:link w:val="Heading8"/>
    <w:uiPriority w:val="9"/>
    <w:semiHidden/>
    <w:rsid w:val="00355EAF"/>
    <w:rPr>
      <w:rFonts w:eastAsiaTheme="minorEastAsia"/>
      <w:i/>
      <w:iCs/>
      <w:sz w:val="24"/>
      <w:szCs w:val="24"/>
    </w:rPr>
  </w:style>
  <w:style w:type="character" w:customStyle="1" w:styleId="Heading9Char">
    <w:name w:val="Heading 9 Char"/>
    <w:basedOn w:val="DefaultParagraphFont"/>
    <w:link w:val="Heading9"/>
    <w:uiPriority w:val="9"/>
    <w:semiHidden/>
    <w:rsid w:val="00355EAF"/>
    <w:rPr>
      <w:rFonts w:asciiTheme="majorHAnsi" w:eastAsiaTheme="majorEastAsia" w:hAnsiTheme="majorHAnsi" w:cstheme="majorBidi"/>
    </w:rPr>
  </w:style>
  <w:style w:type="paragraph" w:styleId="Caption">
    <w:name w:val="caption"/>
    <w:basedOn w:val="Normal"/>
    <w:next w:val="Normal"/>
    <w:uiPriority w:val="35"/>
    <w:unhideWhenUsed/>
    <w:qFormat/>
    <w:rsid w:val="00F34F3A"/>
    <w:pPr>
      <w:spacing w:line="240" w:lineRule="auto"/>
    </w:pPr>
    <w:rPr>
      <w:i/>
      <w:iCs/>
      <w:color w:val="1F497D" w:themeColor="text2"/>
      <w:sz w:val="18"/>
      <w:szCs w:val="18"/>
    </w:rPr>
  </w:style>
  <w:style w:type="table" w:customStyle="1" w:styleId="TableGrid1">
    <w:name w:val="Table Grid1"/>
    <w:basedOn w:val="TableNormal"/>
    <w:next w:val="TableGrid"/>
    <w:uiPriority w:val="59"/>
    <w:rsid w:val="002D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500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D5003"/>
    <w:rPr>
      <w:rFonts w:eastAsiaTheme="minorEastAsia"/>
      <w:sz w:val="20"/>
      <w:szCs w:val="20"/>
    </w:rPr>
  </w:style>
  <w:style w:type="paragraph" w:customStyle="1" w:styleId="Default">
    <w:name w:val="Default"/>
    <w:rsid w:val="0077680A"/>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normaltextrun">
    <w:name w:val="normaltextrun"/>
    <w:basedOn w:val="DefaultParagraphFont"/>
    <w:rsid w:val="0077680A"/>
  </w:style>
  <w:style w:type="character" w:customStyle="1" w:styleId="Normal-2Char">
    <w:name w:val="Normal-2 Char"/>
    <w:basedOn w:val="DefaultParagraphFont"/>
    <w:link w:val="Normal-2"/>
    <w:locked/>
    <w:rsid w:val="00C94225"/>
    <w:rPr>
      <w:rFonts w:eastAsiaTheme="minorEastAsia"/>
      <w:noProof/>
      <w:szCs w:val="20"/>
    </w:rPr>
  </w:style>
  <w:style w:type="paragraph" w:customStyle="1" w:styleId="Normal-2">
    <w:name w:val="Normal-2"/>
    <w:basedOn w:val="Normal"/>
    <w:link w:val="Normal-2Char"/>
    <w:qFormat/>
    <w:rsid w:val="00C94225"/>
    <w:pPr>
      <w:ind w:left="288"/>
      <w:jc w:val="both"/>
    </w:pPr>
    <w:rPr>
      <w:rFonts w:eastAsiaTheme="minorEastAsia"/>
      <w:noProof/>
      <w:szCs w:val="20"/>
    </w:rPr>
  </w:style>
  <w:style w:type="character" w:customStyle="1" w:styleId="eop">
    <w:name w:val="eop"/>
    <w:basedOn w:val="DefaultParagraphFont"/>
    <w:rsid w:val="00A75C6C"/>
  </w:style>
  <w:style w:type="character" w:styleId="FollowedHyperlink">
    <w:name w:val="FollowedHyperlink"/>
    <w:basedOn w:val="DefaultParagraphFont"/>
    <w:uiPriority w:val="99"/>
    <w:semiHidden/>
    <w:unhideWhenUsed/>
    <w:rsid w:val="00901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8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cdrh_docs/pdf20/P200045B.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cessdata.fda.gov/cdrh_docs/pdf20/P200045C.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essdata.fda.gov/cdrh_docs/pdf20/P200045A.pdf"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data.fda.gov/scripts/cdrh/cfdocs/cfpma/pma_pas.cfm?tid=7216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80DFAAAD1C845961AA9D6883103C0" ma:contentTypeVersion="14" ma:contentTypeDescription="Create a new document." ma:contentTypeScope="" ma:versionID="e4ba31b8b6fb9b0686e6c7d4d59cebc7">
  <xsd:schema xmlns:xsd="http://www.w3.org/2001/XMLSchema" xmlns:xs="http://www.w3.org/2001/XMLSchema" xmlns:p="http://schemas.microsoft.com/office/2006/metadata/properties" xmlns:ns3="59fbae83-6e63-41b2-b72d-e8c516947094" xmlns:ns4="fda22eb2-87a2-4806-bc74-b22c4482e342" targetNamespace="http://schemas.microsoft.com/office/2006/metadata/properties" ma:root="true" ma:fieldsID="8454657f421112a7317134ebf61ba70d" ns3:_="" ns4:_="">
    <xsd:import namespace="59fbae83-6e63-41b2-b72d-e8c516947094"/>
    <xsd:import namespace="fda22eb2-87a2-4806-bc74-b22c4482e3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bae83-6e63-41b2-b72d-e8c516947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22eb2-87a2-4806-bc74-b22c4482e3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da22eb2-87a2-4806-bc74-b22c4482e342">
      <UserInfo>
        <DisplayName>Mifek Jeffrey</DisplayName>
        <AccountId>16</AccountId>
        <AccountType/>
      </UserInfo>
    </SharedWithUsers>
    <_activity xmlns="59fbae83-6e63-41b2-b72d-e8c516947094" xsi:nil="true"/>
  </documentManagement>
</p:properties>
</file>

<file path=customXml/itemProps1.xml><?xml version="1.0" encoding="utf-8"?>
<ds:datastoreItem xmlns:ds="http://schemas.openxmlformats.org/officeDocument/2006/customXml" ds:itemID="{DA28A27D-84DD-440D-92E5-D7BE9247CC2A}">
  <ds:schemaRefs>
    <ds:schemaRef ds:uri="http://schemas.openxmlformats.org/officeDocument/2006/bibliography"/>
  </ds:schemaRefs>
</ds:datastoreItem>
</file>

<file path=customXml/itemProps2.xml><?xml version="1.0" encoding="utf-8"?>
<ds:datastoreItem xmlns:ds="http://schemas.openxmlformats.org/officeDocument/2006/customXml" ds:itemID="{3267322D-F1C2-49FE-8DCE-AFC32759DBB7}">
  <ds:schemaRefs>
    <ds:schemaRef ds:uri="http://schemas.microsoft.com/sharepoint/v3/contenttype/forms"/>
  </ds:schemaRefs>
</ds:datastoreItem>
</file>

<file path=customXml/itemProps3.xml><?xml version="1.0" encoding="utf-8"?>
<ds:datastoreItem xmlns:ds="http://schemas.openxmlformats.org/officeDocument/2006/customXml" ds:itemID="{FEDBEA6E-84CB-4A4D-81CD-1FF1EE711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bae83-6e63-41b2-b72d-e8c516947094"/>
    <ds:schemaRef ds:uri="fda22eb2-87a2-4806-bc74-b22c4482e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CF476-A397-4C6A-A571-0395566F5D7C}">
  <ds:schemaRefs>
    <ds:schemaRef ds:uri="http://schemas.microsoft.com/office/2006/metadata/properties"/>
    <ds:schemaRef ds:uri="http://schemas.microsoft.com/office/infopath/2007/PartnerControls"/>
    <ds:schemaRef ds:uri="fda22eb2-87a2-4806-bc74-b22c4482e342"/>
    <ds:schemaRef ds:uri="59fbae83-6e63-41b2-b72d-e8c516947094"/>
  </ds:schemaRefs>
</ds:datastoreItem>
</file>

<file path=docMetadata/LabelInfo.xml><?xml version="1.0" encoding="utf-8"?>
<clbl:labelList xmlns:clbl="http://schemas.microsoft.com/office/2020/mipLabelMetadata">
  <clbl:label id="{10776c27-5745-4bbc-8d85-3d50cc7592f5}" enabled="0" method="" siteId="{10776c27-5745-4bbc-8d85-3d50cc7592f5}"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3778</Words>
  <Characters>21540</Characters>
  <Application>Microsoft Office Word</Application>
  <DocSecurity>0</DocSecurity>
  <Lines>179</Lines>
  <Paragraphs>50</Paragraphs>
  <ScaleCrop>false</ScaleCrop>
  <Company/>
  <LinksUpToDate>false</LinksUpToDate>
  <CharactersWithSpaces>25268</CharactersWithSpaces>
  <SharedDoc>false</SharedDoc>
  <HLinks>
    <vt:vector size="24" baseType="variant">
      <vt:variant>
        <vt:i4>2359363</vt:i4>
      </vt:variant>
      <vt:variant>
        <vt:i4>12</vt:i4>
      </vt:variant>
      <vt:variant>
        <vt:i4>0</vt:i4>
      </vt:variant>
      <vt:variant>
        <vt:i4>5</vt:i4>
      </vt:variant>
      <vt:variant>
        <vt:lpwstr>https://www.accessdata.fda.gov/scripts/cdrh/cfdocs/cfpma/pma_pas.cfm?tid=721614</vt:lpwstr>
      </vt:variant>
      <vt:variant>
        <vt:lpwstr/>
      </vt:variant>
      <vt:variant>
        <vt:i4>5243004</vt:i4>
      </vt:variant>
      <vt:variant>
        <vt:i4>6</vt:i4>
      </vt:variant>
      <vt:variant>
        <vt:i4>0</vt:i4>
      </vt:variant>
      <vt:variant>
        <vt:i4>5</vt:i4>
      </vt:variant>
      <vt:variant>
        <vt:lpwstr>https://www.accessdata.fda.gov/cdrh_docs/pdf20/P200045B.pdf</vt:lpwstr>
      </vt:variant>
      <vt:variant>
        <vt:lpwstr/>
      </vt:variant>
      <vt:variant>
        <vt:i4>5243005</vt:i4>
      </vt:variant>
      <vt:variant>
        <vt:i4>3</vt:i4>
      </vt:variant>
      <vt:variant>
        <vt:i4>0</vt:i4>
      </vt:variant>
      <vt:variant>
        <vt:i4>5</vt:i4>
      </vt:variant>
      <vt:variant>
        <vt:lpwstr>https://www.accessdata.fda.gov/cdrh_docs/pdf20/P200045C.pdf</vt:lpwstr>
      </vt:variant>
      <vt:variant>
        <vt:lpwstr/>
      </vt:variant>
      <vt:variant>
        <vt:i4>5243007</vt:i4>
      </vt:variant>
      <vt:variant>
        <vt:i4>0</vt:i4>
      </vt:variant>
      <vt:variant>
        <vt:i4>0</vt:i4>
      </vt:variant>
      <vt:variant>
        <vt:i4>5</vt:i4>
      </vt:variant>
      <vt:variant>
        <vt:lpwstr>https://www.accessdata.fda.gov/cdrh_docs/pdf20/P200045A.pdf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Retarekar, Rohini</dc:creator>
  <cp:keywords/>
  <dc:description/>
  <cp:lastModifiedBy>Nugent Laura</cp:lastModifiedBy>
  <cp:revision>6</cp:revision>
  <cp:lastPrinted>2024-12-06T12:35:00Z</cp:lastPrinted>
  <dcterms:created xsi:type="dcterms:W3CDTF">2024-12-06T12:32:00Z</dcterms:created>
  <dcterms:modified xsi:type="dcterms:W3CDTF">2024-12-24T06:52:00Z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a17b986e-3cfe-4c29-a15b-9fc637cb42b3</vt:lpwstr>
  </property>
  <property fmtid="{D5CDD505-2E9C-101B-9397-08002B2CF9AE}" pid="3" name="ContentTypeId">
    <vt:lpwstr>0x01010013680DFAAAD1C845961AA9D6883103C0</vt:lpwstr>
  </property>
</Properties>
</file>